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3D" w:rsidRPr="006E6890" w:rsidRDefault="00D11D3D" w:rsidP="00D11D3D">
      <w:pPr>
        <w:jc w:val="both"/>
        <w:rPr>
          <w:rFonts w:asciiTheme="minorHAnsi" w:hAnsiTheme="minorHAnsi" w:cstheme="minorHAnsi"/>
          <w:b/>
          <w:bCs/>
          <w:smallCaps/>
        </w:rPr>
      </w:pPr>
      <w:r w:rsidRPr="006E6890">
        <w:rPr>
          <w:rFonts w:asciiTheme="minorHAnsi" w:hAnsiTheme="minorHAnsi" w:cstheme="minorHAnsi"/>
          <w:b/>
          <w:bCs/>
          <w:smallCaps/>
        </w:rPr>
        <w:t>Area 2 “Politiche per lo sviluppo economico, lavoro e innovazione</w:t>
      </w:r>
    </w:p>
    <w:p w:rsidR="00D11D3D" w:rsidRPr="006E6890" w:rsidRDefault="00D11D3D" w:rsidP="00D11D3D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11D3D" w:rsidRPr="006E6890" w:rsidRDefault="00D11D3D" w:rsidP="00D11D3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6890">
        <w:rPr>
          <w:rFonts w:asciiTheme="minorHAnsi" w:hAnsiTheme="minorHAnsi" w:cstheme="minorHAnsi"/>
          <w:color w:val="000000"/>
          <w:sz w:val="22"/>
          <w:szCs w:val="22"/>
        </w:rPr>
        <w:t>Per l’Area 2 sono stati oggetto di analisi solo i Servizi: Ricerca e Competitività, Formazione Professionale, Politiche per il Lavoro, Politiche Giovanili e Cittadinanza Sociale.</w:t>
      </w:r>
    </w:p>
    <w:p w:rsidR="00D11D3D" w:rsidRPr="006E6890" w:rsidRDefault="00D11D3D" w:rsidP="00D11D3D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11D3D" w:rsidRPr="006E6890" w:rsidRDefault="00D11D3D" w:rsidP="00D11D3D">
      <w:pPr>
        <w:jc w:val="both"/>
        <w:rPr>
          <w:rFonts w:asciiTheme="minorHAnsi" w:hAnsiTheme="minorHAnsi" w:cstheme="minorHAnsi"/>
          <w:sz w:val="20"/>
          <w:szCs w:val="20"/>
        </w:rPr>
      </w:pPr>
      <w:r w:rsidRPr="006E6890">
        <w:rPr>
          <w:rFonts w:asciiTheme="minorHAnsi" w:hAnsiTheme="minorHAnsi" w:cstheme="minorHAnsi"/>
          <w:sz w:val="20"/>
          <w:szCs w:val="20"/>
        </w:rPr>
        <w:t>Area 2– Disaggregazione della spesa per rilevanza di genere e Servizio Anno 2010</w:t>
      </w:r>
    </w:p>
    <w:tbl>
      <w:tblPr>
        <w:tblStyle w:val="Grigliatabella"/>
        <w:tblW w:w="10031" w:type="dxa"/>
        <w:tblLayout w:type="fixed"/>
        <w:tblLook w:val="01E0"/>
      </w:tblPr>
      <w:tblGrid>
        <w:gridCol w:w="1384"/>
        <w:gridCol w:w="1276"/>
        <w:gridCol w:w="1293"/>
        <w:gridCol w:w="1180"/>
        <w:gridCol w:w="1180"/>
        <w:gridCol w:w="1308"/>
        <w:gridCol w:w="1134"/>
        <w:gridCol w:w="1276"/>
      </w:tblGrid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Spesa riclassificata per genere</w:t>
            </w: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</w:p>
        </w:tc>
        <w:tc>
          <w:tcPr>
            <w:tcW w:w="1276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Spesa TOT</w:t>
            </w:r>
          </w:p>
        </w:tc>
        <w:tc>
          <w:tcPr>
            <w:tcW w:w="1293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Contesto</w:t>
            </w:r>
          </w:p>
        </w:tc>
        <w:tc>
          <w:tcPr>
            <w:tcW w:w="1180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Contesto di genere</w:t>
            </w:r>
          </w:p>
        </w:tc>
        <w:tc>
          <w:tcPr>
            <w:tcW w:w="1180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Diretta</w:t>
            </w:r>
          </w:p>
        </w:tc>
        <w:tc>
          <w:tcPr>
            <w:tcW w:w="1308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Indiretta</w:t>
            </w:r>
          </w:p>
        </w:tc>
        <w:tc>
          <w:tcPr>
            <w:tcW w:w="1134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Indiretta di genere</w:t>
            </w:r>
          </w:p>
        </w:tc>
        <w:tc>
          <w:tcPr>
            <w:tcW w:w="1276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Neutra</w:t>
            </w: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Ricerca e Competitività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39.393.453,19</w:t>
            </w:r>
          </w:p>
        </w:tc>
        <w:tc>
          <w:tcPr>
            <w:tcW w:w="1293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27.053.875,75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7.952.904,93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1.321.690,22</w:t>
            </w:r>
          </w:p>
        </w:tc>
        <w:tc>
          <w:tcPr>
            <w:tcW w:w="1308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3.064.982,29</w:t>
            </w: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Formazione Professionale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123.813.431,33</w:t>
            </w:r>
          </w:p>
        </w:tc>
        <w:tc>
          <w:tcPr>
            <w:tcW w:w="1293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20.818.564,99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3.555.272,95</w:t>
            </w:r>
          </w:p>
        </w:tc>
        <w:tc>
          <w:tcPr>
            <w:tcW w:w="1308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746.772,10</w:t>
            </w:r>
          </w:p>
        </w:tc>
        <w:tc>
          <w:tcPr>
            <w:tcW w:w="1134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93.798.079,41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4.894.741,88</w:t>
            </w: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Politiche per il Lavoro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50.183.568,82</w:t>
            </w:r>
          </w:p>
        </w:tc>
        <w:tc>
          <w:tcPr>
            <w:tcW w:w="1293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1.253.844,40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284.267,78</w:t>
            </w:r>
          </w:p>
        </w:tc>
        <w:tc>
          <w:tcPr>
            <w:tcW w:w="1308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3.623.723,74</w:t>
            </w:r>
          </w:p>
        </w:tc>
        <w:tc>
          <w:tcPr>
            <w:tcW w:w="1134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45.021.732,90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Politiche Giovanili e Cittadinanza Sociale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1.897.112,35</w:t>
            </w:r>
          </w:p>
        </w:tc>
        <w:tc>
          <w:tcPr>
            <w:tcW w:w="1293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77.800,00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8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118.819,83</w:t>
            </w:r>
          </w:p>
        </w:tc>
        <w:tc>
          <w:tcPr>
            <w:tcW w:w="1134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1.700.492,52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SPESA TOTALE SERVIZI CONSIDERATI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215.287.565,69</w:t>
            </w:r>
          </w:p>
        </w:tc>
        <w:tc>
          <w:tcPr>
            <w:tcW w:w="1293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49.204.085,14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7.952.904,93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5.161.230,95</w:t>
            </w:r>
          </w:p>
        </w:tc>
        <w:tc>
          <w:tcPr>
            <w:tcW w:w="1308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4.489.315,67</w:t>
            </w:r>
          </w:p>
        </w:tc>
        <w:tc>
          <w:tcPr>
            <w:tcW w:w="1134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140.520.304,83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7.959.724,17</w:t>
            </w:r>
          </w:p>
        </w:tc>
      </w:tr>
    </w:tbl>
    <w:p w:rsidR="00D11D3D" w:rsidRPr="006E6890" w:rsidRDefault="00D11D3D" w:rsidP="00D11D3D">
      <w:pPr>
        <w:rPr>
          <w:rFonts w:asciiTheme="minorHAnsi" w:hAnsiTheme="minorHAnsi" w:cstheme="minorHAnsi"/>
          <w:sz w:val="16"/>
          <w:szCs w:val="16"/>
        </w:rPr>
      </w:pPr>
    </w:p>
    <w:p w:rsidR="00D11D3D" w:rsidRPr="006E6890" w:rsidRDefault="00D11D3D" w:rsidP="00D11D3D">
      <w:pPr>
        <w:jc w:val="both"/>
        <w:rPr>
          <w:rFonts w:asciiTheme="minorHAnsi" w:hAnsiTheme="minorHAnsi" w:cstheme="minorHAnsi"/>
          <w:sz w:val="20"/>
          <w:szCs w:val="20"/>
        </w:rPr>
      </w:pPr>
      <w:r w:rsidRPr="006E6890">
        <w:rPr>
          <w:rFonts w:asciiTheme="minorHAnsi" w:hAnsiTheme="minorHAnsi" w:cstheme="minorHAnsi"/>
          <w:sz w:val="20"/>
          <w:szCs w:val="20"/>
        </w:rPr>
        <w:t>Area 2 – Disaggregazione della spesa per rilevanza di genere e Servizio Anno 2011</w:t>
      </w:r>
    </w:p>
    <w:tbl>
      <w:tblPr>
        <w:tblStyle w:val="Grigliatabella"/>
        <w:tblW w:w="10031" w:type="dxa"/>
        <w:tblLayout w:type="fixed"/>
        <w:tblLook w:val="01E0"/>
      </w:tblPr>
      <w:tblGrid>
        <w:gridCol w:w="1384"/>
        <w:gridCol w:w="1276"/>
        <w:gridCol w:w="1293"/>
        <w:gridCol w:w="1180"/>
        <w:gridCol w:w="1180"/>
        <w:gridCol w:w="1308"/>
        <w:gridCol w:w="1134"/>
        <w:gridCol w:w="1276"/>
      </w:tblGrid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Spesa riclassificata per genere</w:t>
            </w: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</w:p>
        </w:tc>
        <w:tc>
          <w:tcPr>
            <w:tcW w:w="1276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Spesa TOT</w:t>
            </w:r>
          </w:p>
        </w:tc>
        <w:tc>
          <w:tcPr>
            <w:tcW w:w="1293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Contesto</w:t>
            </w:r>
          </w:p>
        </w:tc>
        <w:tc>
          <w:tcPr>
            <w:tcW w:w="1180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Contesto di genere</w:t>
            </w:r>
          </w:p>
        </w:tc>
        <w:tc>
          <w:tcPr>
            <w:tcW w:w="1180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Diretta</w:t>
            </w:r>
          </w:p>
        </w:tc>
        <w:tc>
          <w:tcPr>
            <w:tcW w:w="1308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Indiretta</w:t>
            </w:r>
          </w:p>
        </w:tc>
        <w:tc>
          <w:tcPr>
            <w:tcW w:w="1134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Indiretta di genere</w:t>
            </w:r>
          </w:p>
        </w:tc>
        <w:tc>
          <w:tcPr>
            <w:tcW w:w="1276" w:type="dxa"/>
          </w:tcPr>
          <w:p w:rsidR="00D11D3D" w:rsidRPr="006E6890" w:rsidRDefault="00D11D3D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Neutra</w:t>
            </w: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Ricerca e Competitività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37.500.861,57</w:t>
            </w:r>
          </w:p>
        </w:tc>
        <w:tc>
          <w:tcPr>
            <w:tcW w:w="1293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11.194.282,20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14.908.248,29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1.424.184,56</w:t>
            </w:r>
          </w:p>
        </w:tc>
        <w:tc>
          <w:tcPr>
            <w:tcW w:w="1308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9.974.146,52</w:t>
            </w: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Formazione Professionale</w:t>
            </w:r>
          </w:p>
        </w:tc>
        <w:tc>
          <w:tcPr>
            <w:tcW w:w="1276" w:type="dxa"/>
            <w:vAlign w:val="center"/>
          </w:tcPr>
          <w:p w:rsidR="00D11D3D" w:rsidRPr="00EF6393" w:rsidRDefault="00D11D3D" w:rsidP="0038482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6393">
              <w:rPr>
                <w:rFonts w:ascii="Calibri" w:hAnsi="Calibri" w:cs="Calibri"/>
                <w:b/>
                <w:bCs/>
                <w:sz w:val="14"/>
                <w:szCs w:val="14"/>
              </w:rPr>
              <w:t>120.712.181,85</w:t>
            </w:r>
          </w:p>
        </w:tc>
        <w:tc>
          <w:tcPr>
            <w:tcW w:w="1293" w:type="dxa"/>
            <w:vAlign w:val="center"/>
          </w:tcPr>
          <w:p w:rsidR="00D11D3D" w:rsidRPr="009C6609" w:rsidRDefault="00D11D3D" w:rsidP="00384825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9C6609">
              <w:rPr>
                <w:rFonts w:ascii="Calibri" w:hAnsi="Calibri"/>
                <w:sz w:val="14"/>
                <w:szCs w:val="14"/>
              </w:rPr>
              <w:t>7.110.899,74</w:t>
            </w:r>
          </w:p>
        </w:tc>
        <w:tc>
          <w:tcPr>
            <w:tcW w:w="1180" w:type="dxa"/>
            <w:vAlign w:val="center"/>
          </w:tcPr>
          <w:p w:rsidR="00D11D3D" w:rsidRPr="009C6609" w:rsidRDefault="00D11D3D" w:rsidP="0038482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D11D3D" w:rsidRPr="009C6609" w:rsidRDefault="00D11D3D" w:rsidP="00384825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9C6609">
              <w:rPr>
                <w:rFonts w:ascii="Calibri" w:hAnsi="Calibri"/>
                <w:sz w:val="14"/>
                <w:szCs w:val="14"/>
              </w:rPr>
              <w:t>1.569.068,32</w:t>
            </w:r>
          </w:p>
        </w:tc>
        <w:tc>
          <w:tcPr>
            <w:tcW w:w="1308" w:type="dxa"/>
            <w:vAlign w:val="center"/>
          </w:tcPr>
          <w:p w:rsidR="00D11D3D" w:rsidRPr="009C6609" w:rsidRDefault="00D11D3D" w:rsidP="00384825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9C6609">
              <w:rPr>
                <w:rFonts w:ascii="Calibri" w:hAnsi="Calibri"/>
                <w:sz w:val="14"/>
                <w:szCs w:val="14"/>
              </w:rPr>
              <w:t>7.756.382,49</w:t>
            </w:r>
          </w:p>
        </w:tc>
        <w:tc>
          <w:tcPr>
            <w:tcW w:w="1134" w:type="dxa"/>
            <w:vAlign w:val="center"/>
          </w:tcPr>
          <w:p w:rsidR="00D11D3D" w:rsidRPr="009C6609" w:rsidRDefault="00D11D3D" w:rsidP="00384825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9C6609">
              <w:rPr>
                <w:rFonts w:ascii="Calibri" w:hAnsi="Calibri"/>
                <w:sz w:val="14"/>
                <w:szCs w:val="14"/>
              </w:rPr>
              <w:t>94.084.880,90</w:t>
            </w:r>
          </w:p>
        </w:tc>
        <w:tc>
          <w:tcPr>
            <w:tcW w:w="1276" w:type="dxa"/>
            <w:vAlign w:val="center"/>
          </w:tcPr>
          <w:p w:rsidR="00D11D3D" w:rsidRPr="009C6609" w:rsidRDefault="00D11D3D" w:rsidP="00384825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9C6609">
              <w:rPr>
                <w:rFonts w:ascii="Calibri" w:hAnsi="Calibri"/>
                <w:sz w:val="14"/>
                <w:szCs w:val="14"/>
              </w:rPr>
              <w:t>10.190.950,40</w:t>
            </w: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Politiche per il Lavoro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53.939.836,33</w:t>
            </w:r>
          </w:p>
        </w:tc>
        <w:tc>
          <w:tcPr>
            <w:tcW w:w="1293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211.177,00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8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2.840.373,64</w:t>
            </w:r>
          </w:p>
        </w:tc>
        <w:tc>
          <w:tcPr>
            <w:tcW w:w="1134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50.742.557,69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145.728,00</w:t>
            </w: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Politiche Giovanili e Cittadinanza Sociale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12.495.742,45</w:t>
            </w:r>
          </w:p>
        </w:tc>
        <w:tc>
          <w:tcPr>
            <w:tcW w:w="1293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7.120.086,14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8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1.088.123,76</w:t>
            </w:r>
          </w:p>
        </w:tc>
        <w:tc>
          <w:tcPr>
            <w:tcW w:w="1134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4.287.532,55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11D3D" w:rsidRPr="006E6890" w:rsidTr="00384825">
        <w:tc>
          <w:tcPr>
            <w:tcW w:w="1384" w:type="dxa"/>
          </w:tcPr>
          <w:p w:rsidR="00D11D3D" w:rsidRPr="006E6890" w:rsidRDefault="00D11D3D" w:rsidP="00384825">
            <w:pPr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SPESA TOTALE SERVIZI CONSIDERATI</w:t>
            </w:r>
          </w:p>
        </w:tc>
        <w:tc>
          <w:tcPr>
            <w:tcW w:w="1276" w:type="dxa"/>
            <w:vAlign w:val="center"/>
          </w:tcPr>
          <w:p w:rsidR="00D11D3D" w:rsidRPr="00C63B5E" w:rsidRDefault="00D11D3D" w:rsidP="0038482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224.648.622,20</w:t>
            </w:r>
          </w:p>
        </w:tc>
        <w:tc>
          <w:tcPr>
            <w:tcW w:w="1293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25.636.445,08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14.908.248,29</w:t>
            </w:r>
          </w:p>
        </w:tc>
        <w:tc>
          <w:tcPr>
            <w:tcW w:w="1180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2.993.252,88</w:t>
            </w:r>
          </w:p>
        </w:tc>
        <w:tc>
          <w:tcPr>
            <w:tcW w:w="1308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11.684.879,89</w:t>
            </w:r>
          </w:p>
        </w:tc>
        <w:tc>
          <w:tcPr>
            <w:tcW w:w="1134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149.114.971,14</w:t>
            </w:r>
          </w:p>
        </w:tc>
        <w:tc>
          <w:tcPr>
            <w:tcW w:w="1276" w:type="dxa"/>
            <w:vAlign w:val="center"/>
          </w:tcPr>
          <w:p w:rsidR="00D11D3D" w:rsidRPr="006E6890" w:rsidRDefault="00D11D3D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20.310.824,92</w:t>
            </w:r>
          </w:p>
        </w:tc>
      </w:tr>
    </w:tbl>
    <w:p w:rsidR="00D11D3D" w:rsidRDefault="00D11D3D" w:rsidP="00D11D3D">
      <w:pPr>
        <w:spacing w:after="200" w:line="276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6E6890">
        <w:rPr>
          <w:rFonts w:asciiTheme="minorHAnsi" w:hAnsiTheme="minorHAnsi" w:cstheme="minorHAnsi"/>
          <w:color w:val="000000"/>
          <w:sz w:val="16"/>
          <w:szCs w:val="16"/>
        </w:rPr>
        <w:t xml:space="preserve">Fonte: Elaborazione </w:t>
      </w:r>
      <w:proofErr w:type="spellStart"/>
      <w:r w:rsidRPr="006E6890">
        <w:rPr>
          <w:rFonts w:asciiTheme="minorHAnsi" w:hAnsiTheme="minorHAnsi" w:cstheme="minorHAnsi"/>
          <w:color w:val="000000"/>
          <w:sz w:val="16"/>
          <w:szCs w:val="16"/>
        </w:rPr>
        <w:t>Isfol</w:t>
      </w:r>
      <w:proofErr w:type="spellEnd"/>
      <w:r w:rsidRPr="006E6890">
        <w:rPr>
          <w:rFonts w:asciiTheme="minorHAnsi" w:hAnsiTheme="minorHAnsi" w:cstheme="minorHAnsi"/>
          <w:color w:val="000000"/>
          <w:sz w:val="16"/>
          <w:szCs w:val="16"/>
        </w:rPr>
        <w:t xml:space="preserve"> su dati del Controllo di Gestione della Regione Puglia</w:t>
      </w:r>
    </w:p>
    <w:p w:rsidR="00D11D3D" w:rsidRDefault="00D11D3D" w:rsidP="00D11D3D">
      <w:pPr>
        <w:spacing w:after="200" w:line="276" w:lineRule="auto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br w:type="page"/>
      </w:r>
    </w:p>
    <w:p w:rsidR="00D11D3D" w:rsidRDefault="00D11D3D" w:rsidP="00D11D3D">
      <w:pPr>
        <w:spacing w:after="200"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:rsidR="00D11D3D" w:rsidRDefault="00D11D3D" w:rsidP="00D11D3D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E6890">
        <w:rPr>
          <w:rFonts w:asciiTheme="minorHAnsi" w:hAnsiTheme="minorHAnsi" w:cstheme="minorHAnsi"/>
          <w:color w:val="000000"/>
          <w:sz w:val="20"/>
          <w:szCs w:val="20"/>
        </w:rPr>
        <w:t>Grafic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6E6890">
        <w:rPr>
          <w:rFonts w:asciiTheme="minorHAnsi" w:hAnsiTheme="minorHAnsi" w:cstheme="minorHAnsi"/>
          <w:color w:val="000000"/>
          <w:sz w:val="20"/>
          <w:szCs w:val="20"/>
        </w:rPr>
        <w:t xml:space="preserve"> Area 2  </w:t>
      </w:r>
      <w:r w:rsidRPr="006E6890">
        <w:rPr>
          <w:rFonts w:asciiTheme="minorHAnsi" w:hAnsiTheme="minorHAnsi" w:cstheme="minorHAnsi"/>
          <w:sz w:val="20"/>
          <w:szCs w:val="20"/>
        </w:rPr>
        <w:t>– Disaggregazione della spesa per rilevanza di genere Anni 2010 e 2011</w:t>
      </w:r>
    </w:p>
    <w:tbl>
      <w:tblPr>
        <w:tblStyle w:val="Grigliatabella"/>
        <w:tblW w:w="0" w:type="auto"/>
        <w:tblLook w:val="04A0"/>
      </w:tblPr>
      <w:tblGrid>
        <w:gridCol w:w="4849"/>
        <w:gridCol w:w="19"/>
        <w:gridCol w:w="4912"/>
        <w:gridCol w:w="74"/>
      </w:tblGrid>
      <w:tr w:rsidR="00D11D3D" w:rsidTr="00384825">
        <w:trPr>
          <w:gridAfter w:val="1"/>
          <w:wAfter w:w="76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11D3D" w:rsidRPr="007359A7" w:rsidRDefault="00D11D3D" w:rsidP="00384825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59A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D3D" w:rsidRPr="007359A7" w:rsidRDefault="00D11D3D" w:rsidP="00384825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59A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2011</w:t>
            </w:r>
          </w:p>
        </w:tc>
      </w:tr>
      <w:tr w:rsidR="00D11D3D" w:rsidRPr="006E6890" w:rsidTr="0038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6" w:type="dxa"/>
            <w:gridSpan w:val="2"/>
          </w:tcPr>
          <w:p w:rsidR="00D11D3D" w:rsidRPr="006E6890" w:rsidRDefault="00D11D3D" w:rsidP="00384825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6890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910177" cy="2385392"/>
                  <wp:effectExtent l="19050" t="0" r="23523" b="0"/>
                  <wp:docPr id="2" name="Gra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4938" w:type="dxa"/>
            <w:gridSpan w:val="2"/>
          </w:tcPr>
          <w:p w:rsidR="00D11D3D" w:rsidRPr="006E6890" w:rsidRDefault="00D11D3D" w:rsidP="00384825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7DD5">
              <w:rPr>
                <w:noProof/>
              </w:rPr>
              <w:drawing>
                <wp:inline distT="0" distB="0" distL="0" distR="0">
                  <wp:extent cx="2983700" cy="2385392"/>
                  <wp:effectExtent l="19050" t="0" r="26200" b="0"/>
                  <wp:docPr id="19" name="Gra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D11D3D" w:rsidRPr="006E6890" w:rsidRDefault="00D11D3D" w:rsidP="00D11D3D">
      <w:pPr>
        <w:spacing w:after="200" w:line="276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6E6890">
        <w:rPr>
          <w:rFonts w:asciiTheme="minorHAnsi" w:hAnsiTheme="minorHAnsi" w:cstheme="minorHAnsi"/>
          <w:color w:val="000000"/>
          <w:sz w:val="16"/>
          <w:szCs w:val="16"/>
        </w:rPr>
        <w:t xml:space="preserve">Fonte: Elaborazione </w:t>
      </w:r>
      <w:proofErr w:type="spellStart"/>
      <w:r w:rsidRPr="006E6890">
        <w:rPr>
          <w:rFonts w:asciiTheme="minorHAnsi" w:hAnsiTheme="minorHAnsi" w:cstheme="minorHAnsi"/>
          <w:color w:val="000000"/>
          <w:sz w:val="16"/>
          <w:szCs w:val="16"/>
        </w:rPr>
        <w:t>Isfol</w:t>
      </w:r>
      <w:proofErr w:type="spellEnd"/>
      <w:r w:rsidRPr="006E6890">
        <w:rPr>
          <w:rFonts w:asciiTheme="minorHAnsi" w:hAnsiTheme="minorHAnsi" w:cstheme="minorHAnsi"/>
          <w:color w:val="000000"/>
          <w:sz w:val="16"/>
          <w:szCs w:val="16"/>
        </w:rPr>
        <w:t xml:space="preserve"> su dati del Controllo di Gestione della Regione Puglia</w:t>
      </w:r>
    </w:p>
    <w:tbl>
      <w:tblPr>
        <w:tblStyle w:val="Grigliatabella"/>
        <w:tblW w:w="0" w:type="auto"/>
        <w:tblLook w:val="04A0"/>
      </w:tblPr>
      <w:tblGrid>
        <w:gridCol w:w="4928"/>
        <w:gridCol w:w="4926"/>
      </w:tblGrid>
      <w:tr w:rsidR="00D11D3D" w:rsidRPr="007359A7" w:rsidTr="00384825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D11D3D" w:rsidRPr="007359A7" w:rsidRDefault="00D11D3D" w:rsidP="00384825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59A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11D3D" w:rsidRPr="007359A7" w:rsidRDefault="00D11D3D" w:rsidP="00384825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59A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2011</w:t>
            </w:r>
          </w:p>
        </w:tc>
      </w:tr>
      <w:tr w:rsidR="00D11D3D" w:rsidTr="0038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:rsidR="00D11D3D" w:rsidRDefault="00D11D3D" w:rsidP="00384825">
            <w:pPr>
              <w:jc w:val="both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CC49AE">
              <w:rPr>
                <w:rFonts w:asciiTheme="minorHAnsi" w:hAnsiTheme="minorHAnsi" w:cstheme="minorHAnsi"/>
                <w:b/>
                <w:bCs/>
                <w:smallCaps/>
                <w:noProof/>
              </w:rPr>
              <w:drawing>
                <wp:inline distT="0" distB="0" distL="0" distR="0">
                  <wp:extent cx="2904849" cy="2592125"/>
                  <wp:effectExtent l="19050" t="0" r="9801" b="0"/>
                  <wp:docPr id="9" name="Grafico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D11D3D" w:rsidRDefault="00D11D3D" w:rsidP="00384825">
            <w:pPr>
              <w:jc w:val="both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CC49AE">
              <w:rPr>
                <w:rFonts w:asciiTheme="minorHAnsi" w:hAnsiTheme="minorHAnsi" w:cstheme="minorHAnsi"/>
                <w:b/>
                <w:bCs/>
                <w:smallCaps/>
                <w:noProof/>
              </w:rPr>
              <w:drawing>
                <wp:inline distT="0" distB="0" distL="0" distR="0">
                  <wp:extent cx="2960481" cy="2592125"/>
                  <wp:effectExtent l="19050" t="0" r="11319" b="0"/>
                  <wp:docPr id="10" name="Grafico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D11D3D" w:rsidRDefault="00D11D3D" w:rsidP="00D11D3D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11D3D" w:rsidRDefault="00D11D3D" w:rsidP="00D11D3D">
      <w:pPr>
        <w:jc w:val="both"/>
        <w:rPr>
          <w:rFonts w:asciiTheme="minorHAnsi" w:hAnsiTheme="minorHAnsi" w:cstheme="minorHAnsi"/>
          <w:b/>
          <w:bCs/>
          <w:smallCaps/>
        </w:rPr>
      </w:pPr>
      <w:r w:rsidRPr="006E6890">
        <w:rPr>
          <w:rFonts w:asciiTheme="minorHAnsi" w:hAnsiTheme="minorHAnsi" w:cstheme="minorHAnsi"/>
          <w:color w:val="000000"/>
          <w:sz w:val="16"/>
          <w:szCs w:val="16"/>
        </w:rPr>
        <w:t xml:space="preserve">Fonte: Elaborazione </w:t>
      </w:r>
      <w:proofErr w:type="spellStart"/>
      <w:r w:rsidRPr="006E6890">
        <w:rPr>
          <w:rFonts w:asciiTheme="minorHAnsi" w:hAnsiTheme="minorHAnsi" w:cstheme="minorHAnsi"/>
          <w:color w:val="000000"/>
          <w:sz w:val="16"/>
          <w:szCs w:val="16"/>
        </w:rPr>
        <w:t>Isfol</w:t>
      </w:r>
      <w:proofErr w:type="spellEnd"/>
      <w:r w:rsidRPr="006E6890">
        <w:rPr>
          <w:rFonts w:asciiTheme="minorHAnsi" w:hAnsiTheme="minorHAnsi" w:cstheme="minorHAnsi"/>
          <w:color w:val="000000"/>
          <w:sz w:val="16"/>
          <w:szCs w:val="16"/>
        </w:rPr>
        <w:t xml:space="preserve"> su dati del Controllo di Gestione della Regione Puglia</w:t>
      </w:r>
    </w:p>
    <w:p w:rsidR="00D11D3D" w:rsidRDefault="00D11D3D" w:rsidP="00D11D3D">
      <w:pPr>
        <w:jc w:val="both"/>
        <w:rPr>
          <w:rFonts w:asciiTheme="minorHAnsi" w:hAnsiTheme="minorHAnsi" w:cstheme="minorHAnsi"/>
          <w:b/>
          <w:bCs/>
          <w:smallCaps/>
        </w:rPr>
      </w:pPr>
    </w:p>
    <w:p w:rsidR="00D11D3D" w:rsidRDefault="00D11D3D" w:rsidP="00D11D3D">
      <w:pPr>
        <w:jc w:val="both"/>
        <w:rPr>
          <w:rFonts w:asciiTheme="minorHAnsi" w:hAnsiTheme="minorHAnsi" w:cstheme="minorHAnsi"/>
          <w:b/>
          <w:bCs/>
          <w:smallCaps/>
        </w:rPr>
      </w:pPr>
    </w:p>
    <w:p w:rsidR="00D11D3D" w:rsidRDefault="00D11D3D" w:rsidP="00D11D3D">
      <w:pPr>
        <w:jc w:val="both"/>
        <w:rPr>
          <w:rFonts w:asciiTheme="minorHAnsi" w:hAnsiTheme="minorHAnsi" w:cstheme="minorHAnsi"/>
          <w:b/>
          <w:bCs/>
          <w:smallCaps/>
        </w:rPr>
      </w:pPr>
    </w:p>
    <w:p w:rsidR="00D92373" w:rsidRDefault="00D92373"/>
    <w:sectPr w:rsidR="00D92373" w:rsidSect="00D92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1D3D"/>
    <w:rsid w:val="00273086"/>
    <w:rsid w:val="003310E8"/>
    <w:rsid w:val="003754E3"/>
    <w:rsid w:val="003D23C6"/>
    <w:rsid w:val="0048244C"/>
    <w:rsid w:val="00517238"/>
    <w:rsid w:val="005C09A4"/>
    <w:rsid w:val="00661F76"/>
    <w:rsid w:val="00721520"/>
    <w:rsid w:val="00752026"/>
    <w:rsid w:val="00796519"/>
    <w:rsid w:val="00813AD0"/>
    <w:rsid w:val="00876FD5"/>
    <w:rsid w:val="009266A9"/>
    <w:rsid w:val="009F577C"/>
    <w:rsid w:val="00A762C2"/>
    <w:rsid w:val="00B46CBA"/>
    <w:rsid w:val="00B50D88"/>
    <w:rsid w:val="00C5157F"/>
    <w:rsid w:val="00D11D3D"/>
    <w:rsid w:val="00D20F52"/>
    <w:rsid w:val="00D92373"/>
    <w:rsid w:val="00EC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11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D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.salvucci\AppData\Local\Temp\7zO58B8.tmp\area%202%20somma%202010%20ricorrett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.salvucci\AppData\Local\Temp\7zO7ABC.tmp\area%202%20somma%202011%20ricorrett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.salvucci\AppData\Local\Temp\7zO44E1.tmp\area%202%20somma%202010%20ricorrett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.salvucci\AppData\Local\Temp\7zOE814.tmp\area%202%20somma%202011%20ricorret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0.20076885533936403"/>
                  <c:y val="-0.23441192732264399"/>
                </c:manualLayout>
              </c:layout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di contesto con forte rilevanza di genere
3,69%</a:t>
                    </a:r>
                  </a:p>
                </c:rich>
              </c:tx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'area 2 somma con rilevanza'!$A$17:$A$22</c:f>
              <c:strCache>
                <c:ptCount val="6"/>
                <c:pt idx="0">
                  <c:v>diretta</c:v>
                </c:pt>
                <c:pt idx="1">
                  <c:v>indiretta con forte rilevanza di genere</c:v>
                </c:pt>
                <c:pt idx="2">
                  <c:v>altra indiretta</c:v>
                </c:pt>
                <c:pt idx="3">
                  <c:v>di contesto con forte rilevanza di genere</c:v>
                </c:pt>
                <c:pt idx="4">
                  <c:v>altra di contesto</c:v>
                </c:pt>
                <c:pt idx="5">
                  <c:v>neutra</c:v>
                </c:pt>
              </c:strCache>
            </c:strRef>
          </c:cat>
          <c:val>
            <c:numRef>
              <c:f>'area 2 somma con rilevanza'!$B$17:$B$22</c:f>
              <c:numCache>
                <c:formatCode>#,##0.00</c:formatCode>
                <c:ptCount val="6"/>
                <c:pt idx="0">
                  <c:v>5161230.95</c:v>
                </c:pt>
                <c:pt idx="1">
                  <c:v>140520304.83000001</c:v>
                </c:pt>
                <c:pt idx="2">
                  <c:v>4489315.67</c:v>
                </c:pt>
                <c:pt idx="3">
                  <c:v>7952904.9300000034</c:v>
                </c:pt>
                <c:pt idx="4">
                  <c:v>49204085.140000001</c:v>
                </c:pt>
                <c:pt idx="5">
                  <c:v>7959724.1699999999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pie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1.7661854768154048E-3"/>
                  <c:y val="0.1214329979585887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2.1778215223097194E-2"/>
                  <c:y val="1.7977179935841355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2.0717410323709592E-2"/>
                  <c:y val="4.9281860600758239E-3"/>
                </c:manualLayout>
              </c:layout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'area 2 somma con rilevanza'!$A$17:$A$22</c:f>
              <c:strCache>
                <c:ptCount val="6"/>
                <c:pt idx="0">
                  <c:v>diretta</c:v>
                </c:pt>
                <c:pt idx="1">
                  <c:v>indiretta con forte rilevanza di genere</c:v>
                </c:pt>
                <c:pt idx="2">
                  <c:v>altra indiretta</c:v>
                </c:pt>
                <c:pt idx="3">
                  <c:v>di contesto con forte rilevanza di genere</c:v>
                </c:pt>
                <c:pt idx="4">
                  <c:v>altra di contesto</c:v>
                </c:pt>
                <c:pt idx="5">
                  <c:v>neutra</c:v>
                </c:pt>
              </c:strCache>
            </c:strRef>
          </c:cat>
          <c:val>
            <c:numRef>
              <c:f>'area 2 somma con rilevanza'!$B$17:$B$22</c:f>
              <c:numCache>
                <c:formatCode>#,##0.00</c:formatCode>
                <c:ptCount val="6"/>
                <c:pt idx="0">
                  <c:v>2993252.88</c:v>
                </c:pt>
                <c:pt idx="1">
                  <c:v>149114971.14000002</c:v>
                </c:pt>
                <c:pt idx="2">
                  <c:v>11684879.889999999</c:v>
                </c:pt>
                <c:pt idx="3">
                  <c:v>14908248.289999982</c:v>
                </c:pt>
                <c:pt idx="4">
                  <c:v>25636445.079999998</c:v>
                </c:pt>
                <c:pt idx="5">
                  <c:v>20310824.919999994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0.13384689413823328"/>
                  <c:y val="-0.28229148439778362"/>
                </c:manualLayout>
              </c:layout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'area 2 somma con rilevanza'!$A$26:$A$29</c:f>
              <c:strCache>
                <c:ptCount val="4"/>
                <c:pt idx="0">
                  <c:v>diretta</c:v>
                </c:pt>
                <c:pt idx="1">
                  <c:v>indiretta e di contesto con forte rilevanza di genere</c:v>
                </c:pt>
                <c:pt idx="2">
                  <c:v>altra indiretta e di contesto</c:v>
                </c:pt>
                <c:pt idx="3">
                  <c:v>neutra</c:v>
                </c:pt>
              </c:strCache>
            </c:strRef>
          </c:cat>
          <c:val>
            <c:numRef>
              <c:f>'area 2 somma con rilevanza'!$B$26:$B$29</c:f>
              <c:numCache>
                <c:formatCode>#,##0.00</c:formatCode>
                <c:ptCount val="4"/>
                <c:pt idx="0">
                  <c:v>5161230.95</c:v>
                </c:pt>
                <c:pt idx="1">
                  <c:v>148473209.75999999</c:v>
                </c:pt>
                <c:pt idx="2">
                  <c:v>53693400.810000002</c:v>
                </c:pt>
                <c:pt idx="3">
                  <c:v>7959724.1699999999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0.12507480314960617"/>
                  <c:y val="-0.2082174103237099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2.9551727909011401E-2"/>
                  <c:y val="6.36286089238845E-2"/>
                </c:manualLayout>
              </c:layout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'area 2 somma con rilevanza'!$A$26:$A$29</c:f>
              <c:strCache>
                <c:ptCount val="4"/>
                <c:pt idx="0">
                  <c:v>diretta</c:v>
                </c:pt>
                <c:pt idx="1">
                  <c:v>indiretta e di contesto con forte rilevanza di genere</c:v>
                </c:pt>
                <c:pt idx="2">
                  <c:v>altra indiretta e di contesto</c:v>
                </c:pt>
                <c:pt idx="3">
                  <c:v>neutra</c:v>
                </c:pt>
              </c:strCache>
            </c:strRef>
          </c:cat>
          <c:val>
            <c:numRef>
              <c:f>'area 2 somma con rilevanza'!$B$26:$B$29</c:f>
              <c:numCache>
                <c:formatCode>#,##0.00</c:formatCode>
                <c:ptCount val="4"/>
                <c:pt idx="0">
                  <c:v>2993252.88</c:v>
                </c:pt>
                <c:pt idx="1">
                  <c:v>164023219.43000001</c:v>
                </c:pt>
                <c:pt idx="2">
                  <c:v>37321324.970000006</c:v>
                </c:pt>
                <c:pt idx="3">
                  <c:v>20310824.919999994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rpbari</dc:creator>
  <cp:lastModifiedBy>rpbari</cp:lastModifiedBy>
  <cp:revision>1</cp:revision>
  <dcterms:created xsi:type="dcterms:W3CDTF">2013-03-20T12:16:00Z</dcterms:created>
  <dcterms:modified xsi:type="dcterms:W3CDTF">2013-03-20T12:16:00Z</dcterms:modified>
</cp:coreProperties>
</file>