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358" w:rsidRPr="007359A7" w:rsidRDefault="00305358" w:rsidP="003053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U</w:t>
      </w:r>
      <w:r w:rsidRPr="007359A7">
        <w:rPr>
          <w:rFonts w:asciiTheme="minorHAnsi" w:hAnsiTheme="minorHAnsi" w:cstheme="minorHAnsi"/>
          <w:sz w:val="22"/>
          <w:szCs w:val="22"/>
        </w:rPr>
        <w:t>na volta operata la riclassificazione della spesa, essa è risultata nuovamente insoddisfacente, per l’eccessiva aggregazione, nella stessa categoria, di interventi – tutti potenzialmente sig</w:t>
      </w:r>
      <w:r>
        <w:rPr>
          <w:rFonts w:asciiTheme="minorHAnsi" w:hAnsiTheme="minorHAnsi" w:cstheme="minorHAnsi"/>
          <w:sz w:val="22"/>
          <w:szCs w:val="22"/>
        </w:rPr>
        <w:t xml:space="preserve">nificativi in ottica di genere - </w:t>
      </w:r>
      <w:r w:rsidRPr="007359A7">
        <w:rPr>
          <w:rFonts w:asciiTheme="minorHAnsi" w:hAnsiTheme="minorHAnsi" w:cstheme="minorHAnsi"/>
          <w:sz w:val="22"/>
          <w:szCs w:val="22"/>
        </w:rPr>
        <w:t>ma con rilevanza diversa</w:t>
      </w:r>
      <w:r>
        <w:rPr>
          <w:rFonts w:asciiTheme="minorHAnsi" w:hAnsiTheme="minorHAnsi" w:cstheme="minorHAnsi"/>
          <w:sz w:val="22"/>
          <w:szCs w:val="22"/>
        </w:rPr>
        <w:t xml:space="preserve"> s</w:t>
      </w:r>
      <w:r w:rsidRPr="007359A7">
        <w:rPr>
          <w:rFonts w:asciiTheme="minorHAnsi" w:hAnsiTheme="minorHAnsi" w:cstheme="minorHAnsi"/>
          <w:sz w:val="22"/>
          <w:szCs w:val="22"/>
        </w:rPr>
        <w:t>i è dunque deciso di suddividere ulteriormente le categorie di spesa “indiretta” e “di contesto” in maniera tale da evidenziare la maggiore rilevanza di genere.</w:t>
      </w:r>
    </w:p>
    <w:p w:rsidR="00305358" w:rsidRDefault="00305358" w:rsidP="00305358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305358" w:rsidRPr="007359A7" w:rsidRDefault="00305358" w:rsidP="00305358">
      <w:pPr>
        <w:jc w:val="both"/>
        <w:rPr>
          <w:rFonts w:asciiTheme="minorHAnsi" w:hAnsiTheme="minorHAnsi" w:cstheme="minorHAnsi"/>
          <w:sz w:val="22"/>
          <w:szCs w:val="22"/>
        </w:rPr>
      </w:pPr>
      <w:r w:rsidRPr="007359A7">
        <w:rPr>
          <w:rFonts w:asciiTheme="minorHAnsi" w:hAnsiTheme="minorHAnsi" w:cstheme="minorHAnsi"/>
          <w:sz w:val="22"/>
          <w:szCs w:val="22"/>
        </w:rPr>
        <w:t>Il momento in cui si è svolta la sperimentazione non ha consentito un’analisi più fine: mancavano ancora per la maggior parte delle azioni esaminate, terminate troppo di recente o ancora in corso, dati di monitoraggio e valutazioni in grado di mostrare l’effettivo coinvolgimento del target femminile e l’impatto che ne è derivato.</w:t>
      </w:r>
    </w:p>
    <w:p w:rsidR="00305358" w:rsidRPr="007359A7" w:rsidRDefault="00305358" w:rsidP="00305358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La </w:t>
      </w:r>
      <w:r w:rsidRPr="007359A7">
        <w:rPr>
          <w:rFonts w:asciiTheme="minorHAnsi" w:hAnsiTheme="minorHAnsi" w:cstheme="minorHAnsi"/>
          <w:sz w:val="22"/>
          <w:szCs w:val="22"/>
        </w:rPr>
        <w:t>riclassificazione proposta presenta un duplice vantaggio: evidenzia in modo immediato e intuitivo la larga parte dell’azione regionale potenzialmente di forte impatto sulla popolazione femminile e suggerisce i campi di intervento su cui focalizzare la valutazione di genere ex post, al fine di verificare quanto tale potenziale sia stato effettivamente dispiegato.</w:t>
      </w:r>
    </w:p>
    <w:p w:rsidR="00305358" w:rsidRPr="007359A7" w:rsidRDefault="00305358" w:rsidP="00305358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05358" w:rsidRPr="007359A7" w:rsidRDefault="00305358" w:rsidP="00305358">
      <w:pPr>
        <w:jc w:val="both"/>
        <w:rPr>
          <w:rFonts w:asciiTheme="minorHAnsi" w:hAnsiTheme="minorHAnsi" w:cstheme="minorHAnsi"/>
          <w:sz w:val="22"/>
          <w:szCs w:val="22"/>
        </w:rPr>
      </w:pPr>
      <w:r w:rsidRPr="007359A7">
        <w:rPr>
          <w:rFonts w:asciiTheme="minorHAnsi" w:hAnsiTheme="minorHAnsi" w:cstheme="minorHAnsi"/>
          <w:sz w:val="22"/>
          <w:szCs w:val="22"/>
        </w:rPr>
        <w:t>Infine, sono state evidenziate, all’interno delle categorie intermedie – nonché ovviamente in quella ‘diretta’ – criticità di pari opportunità (non necessariamente solo una) cui l’intervento esaminato si rivolge, quali:</w:t>
      </w:r>
    </w:p>
    <w:p w:rsidR="00305358" w:rsidRPr="007359A7" w:rsidRDefault="00305358" w:rsidP="00305358">
      <w:pPr>
        <w:numPr>
          <w:ilvl w:val="1"/>
          <w:numId w:val="1"/>
        </w:numPr>
        <w:tabs>
          <w:tab w:val="clear" w:pos="1440"/>
          <w:tab w:val="num" w:pos="126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7359A7">
        <w:rPr>
          <w:rFonts w:asciiTheme="minorHAnsi" w:hAnsiTheme="minorHAnsi" w:cstheme="minorHAnsi"/>
          <w:sz w:val="22"/>
          <w:szCs w:val="22"/>
        </w:rPr>
        <w:t>Occupazione</w:t>
      </w:r>
    </w:p>
    <w:p w:rsidR="00305358" w:rsidRPr="007359A7" w:rsidRDefault="00305358" w:rsidP="00305358">
      <w:pPr>
        <w:numPr>
          <w:ilvl w:val="1"/>
          <w:numId w:val="1"/>
        </w:numPr>
        <w:tabs>
          <w:tab w:val="clear" w:pos="1440"/>
          <w:tab w:val="num" w:pos="126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7359A7">
        <w:rPr>
          <w:rFonts w:asciiTheme="minorHAnsi" w:hAnsiTheme="minorHAnsi" w:cstheme="minorHAnsi"/>
          <w:sz w:val="22"/>
          <w:szCs w:val="22"/>
        </w:rPr>
        <w:t>Precarietà/stabilizzazione</w:t>
      </w:r>
    </w:p>
    <w:p w:rsidR="00305358" w:rsidRPr="007359A7" w:rsidRDefault="00305358" w:rsidP="00305358">
      <w:pPr>
        <w:numPr>
          <w:ilvl w:val="1"/>
          <w:numId w:val="1"/>
        </w:numPr>
        <w:tabs>
          <w:tab w:val="clear" w:pos="1440"/>
          <w:tab w:val="num" w:pos="126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7359A7">
        <w:rPr>
          <w:rFonts w:asciiTheme="minorHAnsi" w:hAnsiTheme="minorHAnsi" w:cstheme="minorHAnsi"/>
          <w:sz w:val="22"/>
          <w:szCs w:val="22"/>
        </w:rPr>
        <w:t>Segregazione orizzontale</w:t>
      </w:r>
    </w:p>
    <w:p w:rsidR="00305358" w:rsidRPr="007359A7" w:rsidRDefault="00305358" w:rsidP="00305358">
      <w:pPr>
        <w:numPr>
          <w:ilvl w:val="1"/>
          <w:numId w:val="1"/>
        </w:numPr>
        <w:tabs>
          <w:tab w:val="clear" w:pos="1440"/>
          <w:tab w:val="num" w:pos="126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7359A7">
        <w:rPr>
          <w:rFonts w:asciiTheme="minorHAnsi" w:hAnsiTheme="minorHAnsi" w:cstheme="minorHAnsi"/>
          <w:sz w:val="22"/>
          <w:szCs w:val="22"/>
        </w:rPr>
        <w:t>Segregazione verticale</w:t>
      </w:r>
    </w:p>
    <w:p w:rsidR="00305358" w:rsidRPr="007359A7" w:rsidRDefault="00305358" w:rsidP="00305358">
      <w:pPr>
        <w:numPr>
          <w:ilvl w:val="1"/>
          <w:numId w:val="1"/>
        </w:numPr>
        <w:tabs>
          <w:tab w:val="clear" w:pos="1440"/>
          <w:tab w:val="num" w:pos="126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7359A7">
        <w:rPr>
          <w:rFonts w:asciiTheme="minorHAnsi" w:hAnsiTheme="minorHAnsi" w:cstheme="minorHAnsi"/>
          <w:sz w:val="22"/>
          <w:szCs w:val="22"/>
        </w:rPr>
        <w:t>Servizi alle famiglie</w:t>
      </w:r>
    </w:p>
    <w:p w:rsidR="00305358" w:rsidRPr="007359A7" w:rsidRDefault="00305358" w:rsidP="00305358">
      <w:pPr>
        <w:numPr>
          <w:ilvl w:val="1"/>
          <w:numId w:val="1"/>
        </w:numPr>
        <w:tabs>
          <w:tab w:val="clear" w:pos="1440"/>
          <w:tab w:val="num" w:pos="126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7359A7">
        <w:rPr>
          <w:rFonts w:asciiTheme="minorHAnsi" w:hAnsiTheme="minorHAnsi" w:cstheme="minorHAnsi"/>
          <w:sz w:val="22"/>
          <w:szCs w:val="22"/>
        </w:rPr>
        <w:t>Servizi alle persone</w:t>
      </w:r>
    </w:p>
    <w:p w:rsidR="00305358" w:rsidRPr="007359A7" w:rsidRDefault="00305358" w:rsidP="00305358">
      <w:pPr>
        <w:numPr>
          <w:ilvl w:val="1"/>
          <w:numId w:val="1"/>
        </w:numPr>
        <w:tabs>
          <w:tab w:val="clear" w:pos="1440"/>
          <w:tab w:val="num" w:pos="126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7359A7">
        <w:rPr>
          <w:rFonts w:asciiTheme="minorHAnsi" w:hAnsiTheme="minorHAnsi" w:cstheme="minorHAnsi"/>
          <w:sz w:val="22"/>
          <w:szCs w:val="22"/>
        </w:rPr>
        <w:t>Accesso e permanenza istruzione/formazione</w:t>
      </w:r>
    </w:p>
    <w:p w:rsidR="00305358" w:rsidRPr="007359A7" w:rsidRDefault="00305358" w:rsidP="00305358">
      <w:pPr>
        <w:numPr>
          <w:ilvl w:val="1"/>
          <w:numId w:val="1"/>
        </w:numPr>
        <w:tabs>
          <w:tab w:val="clear" w:pos="1440"/>
          <w:tab w:val="num" w:pos="126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7359A7">
        <w:rPr>
          <w:rFonts w:asciiTheme="minorHAnsi" w:hAnsiTheme="minorHAnsi" w:cstheme="minorHAnsi"/>
          <w:sz w:val="22"/>
          <w:szCs w:val="22"/>
        </w:rPr>
        <w:t>Conciliazione</w:t>
      </w:r>
    </w:p>
    <w:p w:rsidR="00305358" w:rsidRPr="007359A7" w:rsidRDefault="00305358" w:rsidP="00305358">
      <w:pPr>
        <w:numPr>
          <w:ilvl w:val="1"/>
          <w:numId w:val="1"/>
        </w:numPr>
        <w:tabs>
          <w:tab w:val="clear" w:pos="1440"/>
          <w:tab w:val="num" w:pos="126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7359A7">
        <w:rPr>
          <w:rFonts w:asciiTheme="minorHAnsi" w:hAnsiTheme="minorHAnsi" w:cstheme="minorHAnsi"/>
          <w:sz w:val="22"/>
          <w:szCs w:val="22"/>
        </w:rPr>
        <w:t>Violenza</w:t>
      </w:r>
    </w:p>
    <w:p w:rsidR="00305358" w:rsidRPr="007359A7" w:rsidRDefault="00305358" w:rsidP="00305358">
      <w:pPr>
        <w:numPr>
          <w:ilvl w:val="1"/>
          <w:numId w:val="1"/>
        </w:numPr>
        <w:tabs>
          <w:tab w:val="clear" w:pos="1440"/>
          <w:tab w:val="num" w:pos="126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7359A7">
        <w:rPr>
          <w:rFonts w:asciiTheme="minorHAnsi" w:hAnsiTheme="minorHAnsi" w:cstheme="minorHAnsi"/>
          <w:sz w:val="22"/>
          <w:szCs w:val="22"/>
        </w:rPr>
        <w:t>Condizione retributiva</w:t>
      </w:r>
    </w:p>
    <w:p w:rsidR="00305358" w:rsidRPr="007359A7" w:rsidRDefault="00305358" w:rsidP="00305358">
      <w:pPr>
        <w:numPr>
          <w:ilvl w:val="1"/>
          <w:numId w:val="1"/>
        </w:numPr>
        <w:tabs>
          <w:tab w:val="clear" w:pos="1440"/>
          <w:tab w:val="num" w:pos="126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7359A7">
        <w:rPr>
          <w:rFonts w:asciiTheme="minorHAnsi" w:hAnsiTheme="minorHAnsi" w:cstheme="minorHAnsi"/>
          <w:sz w:val="22"/>
          <w:szCs w:val="22"/>
        </w:rPr>
        <w:t>Condizione di lavoro</w:t>
      </w:r>
    </w:p>
    <w:p w:rsidR="00305358" w:rsidRPr="007359A7" w:rsidRDefault="00305358" w:rsidP="00305358">
      <w:pPr>
        <w:numPr>
          <w:ilvl w:val="1"/>
          <w:numId w:val="1"/>
        </w:numPr>
        <w:tabs>
          <w:tab w:val="clear" w:pos="1440"/>
          <w:tab w:val="num" w:pos="1260"/>
        </w:tabs>
        <w:ind w:hanging="720"/>
        <w:jc w:val="both"/>
        <w:rPr>
          <w:rFonts w:asciiTheme="minorHAnsi" w:hAnsiTheme="minorHAnsi" w:cstheme="minorHAnsi"/>
          <w:sz w:val="22"/>
          <w:szCs w:val="22"/>
        </w:rPr>
      </w:pPr>
      <w:r w:rsidRPr="007359A7">
        <w:rPr>
          <w:rFonts w:asciiTheme="minorHAnsi" w:hAnsiTheme="minorHAnsi" w:cstheme="minorHAnsi"/>
          <w:sz w:val="22"/>
          <w:szCs w:val="22"/>
        </w:rPr>
        <w:t>Altro</w:t>
      </w:r>
    </w:p>
    <w:p w:rsidR="00305358" w:rsidRPr="006E6890" w:rsidRDefault="00305358" w:rsidP="00305358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05358" w:rsidRPr="007359A7" w:rsidRDefault="00305358" w:rsidP="00305358">
      <w:pPr>
        <w:jc w:val="both"/>
        <w:rPr>
          <w:rFonts w:asciiTheme="minorHAnsi" w:hAnsiTheme="minorHAnsi" w:cstheme="minorHAnsi"/>
          <w:sz w:val="22"/>
          <w:szCs w:val="22"/>
        </w:rPr>
      </w:pPr>
      <w:r w:rsidRPr="007359A7">
        <w:rPr>
          <w:rFonts w:asciiTheme="minorHAnsi" w:hAnsiTheme="minorHAnsi" w:cstheme="minorHAnsi"/>
          <w:sz w:val="22"/>
          <w:szCs w:val="22"/>
        </w:rPr>
        <w:t>L’analisi in ottica di genere riguarda generalmente tutte le voci di bilancio ma, per facilitarne la lettura, è stato scelto un livello di aggregazione che rendesse facilmente comprensibile l’esito del lavoro: ossia l’Unità Previsionale di Base (UPB), il Servizio e l’Area funzionale.</w:t>
      </w:r>
    </w:p>
    <w:p w:rsidR="00305358" w:rsidRPr="006E6890" w:rsidRDefault="00305358" w:rsidP="00305358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05358" w:rsidRPr="007359A7" w:rsidRDefault="00305358" w:rsidP="00305358">
      <w:pPr>
        <w:jc w:val="both"/>
        <w:rPr>
          <w:rFonts w:asciiTheme="minorHAnsi" w:hAnsiTheme="minorHAnsi" w:cstheme="minorHAnsi"/>
          <w:sz w:val="22"/>
          <w:szCs w:val="22"/>
        </w:rPr>
      </w:pPr>
      <w:r w:rsidRPr="007359A7">
        <w:rPr>
          <w:rFonts w:asciiTheme="minorHAnsi" w:hAnsiTheme="minorHAnsi" w:cstheme="minorHAnsi"/>
          <w:sz w:val="22"/>
          <w:szCs w:val="22"/>
        </w:rPr>
        <w:t>In questo lavoro è stata operata la lettura del rendiconto avendo in mente i dati forniti dalla Relazione di gestione, ed è stata effettuata la classificazione di genere secondo lo schema rappresentato nella matrice seguente:</w:t>
      </w:r>
    </w:p>
    <w:p w:rsidR="00305358" w:rsidRPr="006E6890" w:rsidRDefault="00305358" w:rsidP="00305358">
      <w:pPr>
        <w:spacing w:after="200" w:line="276" w:lineRule="auto"/>
        <w:rPr>
          <w:rFonts w:asciiTheme="minorHAnsi" w:hAnsiTheme="minorHAnsi" w:cstheme="minorHAnsi"/>
          <w:sz w:val="16"/>
          <w:szCs w:val="16"/>
        </w:rPr>
      </w:pPr>
    </w:p>
    <w:tbl>
      <w:tblPr>
        <w:tblW w:w="9203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265"/>
        <w:gridCol w:w="1276"/>
        <w:gridCol w:w="992"/>
        <w:gridCol w:w="1134"/>
        <w:gridCol w:w="993"/>
        <w:gridCol w:w="1100"/>
        <w:gridCol w:w="1309"/>
        <w:gridCol w:w="1134"/>
      </w:tblGrid>
      <w:tr w:rsidR="00305358" w:rsidRPr="006E6890" w:rsidTr="00384825">
        <w:trPr>
          <w:trHeight w:val="401"/>
          <w:jc w:val="center"/>
        </w:trPr>
        <w:tc>
          <w:tcPr>
            <w:tcW w:w="353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FF93"/>
            <w:tcMar>
              <w:top w:w="72" w:type="dxa"/>
              <w:left w:w="131" w:type="dxa"/>
              <w:bottom w:w="72" w:type="dxa"/>
              <w:right w:w="131" w:type="dxa"/>
            </w:tcMar>
            <w:vAlign w:val="center"/>
          </w:tcPr>
          <w:p w:rsidR="00305358" w:rsidRPr="006E6890" w:rsidRDefault="00305358" w:rsidP="0038482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E6890">
              <w:rPr>
                <w:rFonts w:asciiTheme="minorHAnsi" w:hAnsiTheme="minorHAnsi" w:cstheme="minorHAnsi"/>
                <w:b/>
                <w:bCs/>
              </w:rPr>
              <w:t xml:space="preserve">Relazione di gestione </w:t>
            </w:r>
          </w:p>
        </w:tc>
        <w:tc>
          <w:tcPr>
            <w:tcW w:w="32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72" w:type="dxa"/>
              <w:left w:w="131" w:type="dxa"/>
              <w:bottom w:w="72" w:type="dxa"/>
              <w:right w:w="131" w:type="dxa"/>
            </w:tcMar>
            <w:vAlign w:val="center"/>
          </w:tcPr>
          <w:p w:rsidR="00305358" w:rsidRPr="006E6890" w:rsidRDefault="00305358" w:rsidP="0038482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E6890">
              <w:rPr>
                <w:rFonts w:asciiTheme="minorHAnsi" w:hAnsiTheme="minorHAnsi" w:cstheme="minorHAnsi"/>
                <w:b/>
                <w:bCs/>
              </w:rPr>
              <w:t xml:space="preserve">Rendiconto </w:t>
            </w:r>
          </w:p>
        </w:tc>
        <w:tc>
          <w:tcPr>
            <w:tcW w:w="24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CBE"/>
            <w:tcMar>
              <w:top w:w="72" w:type="dxa"/>
              <w:left w:w="131" w:type="dxa"/>
              <w:bottom w:w="72" w:type="dxa"/>
              <w:right w:w="131" w:type="dxa"/>
            </w:tcMar>
            <w:vAlign w:val="center"/>
          </w:tcPr>
          <w:p w:rsidR="00305358" w:rsidRPr="006E6890" w:rsidRDefault="00305358" w:rsidP="0038482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6E6890">
              <w:rPr>
                <w:rFonts w:asciiTheme="minorHAnsi" w:hAnsiTheme="minorHAnsi" w:cstheme="minorHAnsi"/>
                <w:b/>
                <w:bCs/>
              </w:rPr>
              <w:t xml:space="preserve">Classificazione di genere </w:t>
            </w:r>
          </w:p>
        </w:tc>
      </w:tr>
      <w:tr w:rsidR="00305358" w:rsidRPr="006E6890" w:rsidTr="00384825">
        <w:trPr>
          <w:trHeight w:val="1539"/>
          <w:jc w:val="center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FF93"/>
            <w:tcMar>
              <w:top w:w="72" w:type="dxa"/>
              <w:left w:w="131" w:type="dxa"/>
              <w:bottom w:w="72" w:type="dxa"/>
              <w:right w:w="131" w:type="dxa"/>
            </w:tcMar>
            <w:vAlign w:val="center"/>
          </w:tcPr>
          <w:p w:rsidR="00305358" w:rsidRPr="006E6890" w:rsidRDefault="00305358" w:rsidP="00384825">
            <w:pPr>
              <w:rPr>
                <w:rFonts w:asciiTheme="minorHAnsi" w:hAnsiTheme="minorHAnsi" w:cstheme="minorHAnsi"/>
                <w:b/>
                <w:bCs/>
              </w:rPr>
            </w:pPr>
            <w:r w:rsidRPr="006E6890">
              <w:rPr>
                <w:rFonts w:asciiTheme="minorHAnsi" w:hAnsiTheme="minorHAnsi" w:cstheme="minorHAnsi"/>
                <w:b/>
                <w:bCs/>
              </w:rPr>
              <w:t xml:space="preserve">Obiettivo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FF93"/>
            <w:tcMar>
              <w:top w:w="72" w:type="dxa"/>
              <w:left w:w="131" w:type="dxa"/>
              <w:bottom w:w="72" w:type="dxa"/>
              <w:right w:w="131" w:type="dxa"/>
            </w:tcMar>
            <w:vAlign w:val="center"/>
          </w:tcPr>
          <w:p w:rsidR="00305358" w:rsidRPr="006E6890" w:rsidRDefault="00305358" w:rsidP="00384825">
            <w:pPr>
              <w:rPr>
                <w:rFonts w:asciiTheme="minorHAnsi" w:hAnsiTheme="minorHAnsi" w:cstheme="minorHAnsi"/>
                <w:b/>
                <w:bCs/>
              </w:rPr>
            </w:pPr>
            <w:r w:rsidRPr="006E6890">
              <w:rPr>
                <w:rFonts w:asciiTheme="minorHAnsi" w:hAnsiTheme="minorHAnsi" w:cstheme="minorHAnsi"/>
                <w:b/>
                <w:bCs/>
              </w:rPr>
              <w:t xml:space="preserve">Program-ma/ progetto 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FF93"/>
            <w:tcMar>
              <w:top w:w="72" w:type="dxa"/>
              <w:left w:w="131" w:type="dxa"/>
              <w:bottom w:w="72" w:type="dxa"/>
              <w:right w:w="131" w:type="dxa"/>
            </w:tcMar>
            <w:vAlign w:val="center"/>
          </w:tcPr>
          <w:p w:rsidR="00305358" w:rsidRPr="006E6890" w:rsidRDefault="00305358" w:rsidP="00384825">
            <w:pPr>
              <w:rPr>
                <w:rFonts w:asciiTheme="minorHAnsi" w:hAnsiTheme="minorHAnsi" w:cstheme="minorHAnsi"/>
                <w:b/>
                <w:bCs/>
              </w:rPr>
            </w:pPr>
            <w:r w:rsidRPr="006E6890">
              <w:rPr>
                <w:rFonts w:asciiTheme="minorHAnsi" w:hAnsiTheme="minorHAnsi" w:cstheme="minorHAnsi"/>
                <w:b/>
                <w:bCs/>
              </w:rPr>
              <w:t xml:space="preserve">Realiz-zazioni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72" w:type="dxa"/>
              <w:left w:w="131" w:type="dxa"/>
              <w:bottom w:w="72" w:type="dxa"/>
              <w:right w:w="131" w:type="dxa"/>
            </w:tcMar>
            <w:vAlign w:val="center"/>
          </w:tcPr>
          <w:p w:rsidR="00305358" w:rsidRPr="006E6890" w:rsidRDefault="00305358" w:rsidP="00384825">
            <w:pPr>
              <w:rPr>
                <w:rFonts w:asciiTheme="minorHAnsi" w:hAnsiTheme="minorHAnsi" w:cstheme="minorHAnsi"/>
                <w:b/>
                <w:bCs/>
              </w:rPr>
            </w:pPr>
            <w:r w:rsidRPr="006E6890">
              <w:rPr>
                <w:rFonts w:asciiTheme="minorHAnsi" w:hAnsiTheme="minorHAnsi" w:cstheme="minorHAnsi"/>
                <w:b/>
                <w:bCs/>
              </w:rPr>
              <w:t xml:space="preserve">Capitoli di spesa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72" w:type="dxa"/>
              <w:left w:w="131" w:type="dxa"/>
              <w:bottom w:w="72" w:type="dxa"/>
              <w:right w:w="131" w:type="dxa"/>
            </w:tcMar>
            <w:vAlign w:val="center"/>
          </w:tcPr>
          <w:p w:rsidR="00305358" w:rsidRPr="006E6890" w:rsidRDefault="00305358" w:rsidP="00384825">
            <w:pPr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6E6890">
              <w:rPr>
                <w:rFonts w:asciiTheme="minorHAnsi" w:hAnsiTheme="minorHAnsi" w:cstheme="minorHAnsi"/>
                <w:b/>
                <w:bCs/>
              </w:rPr>
              <w:t>U.P.B.</w:t>
            </w:r>
            <w:proofErr w:type="spellEnd"/>
            <w:r w:rsidRPr="006E6890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72" w:type="dxa"/>
              <w:left w:w="131" w:type="dxa"/>
              <w:bottom w:w="72" w:type="dxa"/>
              <w:right w:w="131" w:type="dxa"/>
            </w:tcMar>
            <w:vAlign w:val="center"/>
          </w:tcPr>
          <w:p w:rsidR="00305358" w:rsidRPr="006E6890" w:rsidRDefault="00305358" w:rsidP="00384825">
            <w:pPr>
              <w:rPr>
                <w:rFonts w:asciiTheme="minorHAnsi" w:hAnsiTheme="minorHAnsi" w:cstheme="minorHAnsi"/>
                <w:b/>
                <w:bCs/>
              </w:rPr>
            </w:pPr>
            <w:r w:rsidRPr="006E6890">
              <w:rPr>
                <w:rFonts w:asciiTheme="minorHAnsi" w:hAnsiTheme="minorHAnsi" w:cstheme="minorHAnsi"/>
                <w:b/>
                <w:bCs/>
              </w:rPr>
              <w:t xml:space="preserve">Spesa Totale (Paga-menti) </w:t>
            </w: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CBE"/>
            <w:tcMar>
              <w:top w:w="72" w:type="dxa"/>
              <w:left w:w="131" w:type="dxa"/>
              <w:bottom w:w="72" w:type="dxa"/>
              <w:right w:w="131" w:type="dxa"/>
            </w:tcMar>
            <w:vAlign w:val="center"/>
          </w:tcPr>
          <w:p w:rsidR="00305358" w:rsidRPr="006E6890" w:rsidRDefault="00305358" w:rsidP="00384825">
            <w:pPr>
              <w:rPr>
                <w:rFonts w:asciiTheme="minorHAnsi" w:hAnsiTheme="minorHAnsi" w:cstheme="minorHAnsi"/>
                <w:b/>
                <w:bCs/>
              </w:rPr>
            </w:pPr>
            <w:r w:rsidRPr="006E6890">
              <w:rPr>
                <w:rFonts w:asciiTheme="minorHAnsi" w:hAnsiTheme="minorHAnsi" w:cstheme="minorHAnsi"/>
                <w:b/>
                <w:bCs/>
              </w:rPr>
              <w:t xml:space="preserve">Tipologia di ricaduta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CBE"/>
            <w:tcMar>
              <w:top w:w="72" w:type="dxa"/>
              <w:left w:w="131" w:type="dxa"/>
              <w:bottom w:w="72" w:type="dxa"/>
              <w:right w:w="131" w:type="dxa"/>
            </w:tcMar>
            <w:vAlign w:val="center"/>
          </w:tcPr>
          <w:p w:rsidR="00305358" w:rsidRPr="006E6890" w:rsidRDefault="00305358" w:rsidP="00384825">
            <w:pPr>
              <w:rPr>
                <w:rFonts w:asciiTheme="minorHAnsi" w:hAnsiTheme="minorHAnsi" w:cstheme="minorHAnsi"/>
                <w:b/>
                <w:bCs/>
              </w:rPr>
            </w:pPr>
            <w:r w:rsidRPr="006E6890">
              <w:rPr>
                <w:rFonts w:asciiTheme="minorHAnsi" w:hAnsiTheme="minorHAnsi" w:cstheme="minorHAnsi"/>
                <w:b/>
                <w:bCs/>
              </w:rPr>
              <w:t xml:space="preserve">Criticità </w:t>
            </w:r>
          </w:p>
        </w:tc>
      </w:tr>
      <w:tr w:rsidR="00305358" w:rsidRPr="006E6890" w:rsidTr="00384825">
        <w:trPr>
          <w:trHeight w:val="479"/>
          <w:jc w:val="center"/>
        </w:trPr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FF93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305358" w:rsidRPr="006E6890" w:rsidRDefault="00305358" w:rsidP="0038482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FF93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305358" w:rsidRPr="006E6890" w:rsidRDefault="00305358" w:rsidP="0038482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9FF93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305358" w:rsidRPr="006E6890" w:rsidRDefault="00305358" w:rsidP="0038482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305358" w:rsidRPr="006E6890" w:rsidRDefault="00305358" w:rsidP="0038482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305358" w:rsidRPr="006E6890" w:rsidRDefault="00305358" w:rsidP="0038482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699FF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305358" w:rsidRPr="006E6890" w:rsidRDefault="00305358" w:rsidP="0038482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3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CBE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305358" w:rsidRPr="006E6890" w:rsidRDefault="00305358" w:rsidP="0038482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1FCBE"/>
            <w:tcMar>
              <w:top w:w="72" w:type="dxa"/>
              <w:left w:w="131" w:type="dxa"/>
              <w:bottom w:w="72" w:type="dxa"/>
              <w:right w:w="131" w:type="dxa"/>
            </w:tcMar>
          </w:tcPr>
          <w:p w:rsidR="00305358" w:rsidRPr="006E6890" w:rsidRDefault="00305358" w:rsidP="00384825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305358" w:rsidRPr="006E6890" w:rsidRDefault="00305358" w:rsidP="00305358">
      <w:pPr>
        <w:jc w:val="both"/>
        <w:rPr>
          <w:rFonts w:asciiTheme="minorHAnsi" w:hAnsiTheme="minorHAnsi" w:cstheme="minorHAnsi"/>
          <w:b/>
          <w:bCs/>
          <w:sz w:val="16"/>
          <w:szCs w:val="16"/>
        </w:rPr>
      </w:pPr>
    </w:p>
    <w:p w:rsidR="00305358" w:rsidRPr="007359A7" w:rsidRDefault="00305358" w:rsidP="00305358">
      <w:pPr>
        <w:jc w:val="both"/>
        <w:rPr>
          <w:rFonts w:asciiTheme="minorHAnsi" w:hAnsiTheme="minorHAnsi" w:cstheme="minorHAnsi"/>
          <w:sz w:val="22"/>
          <w:szCs w:val="22"/>
        </w:rPr>
      </w:pPr>
      <w:r w:rsidRPr="007359A7">
        <w:rPr>
          <w:rFonts w:asciiTheme="minorHAnsi" w:hAnsiTheme="minorHAnsi" w:cstheme="minorHAnsi"/>
          <w:sz w:val="22"/>
          <w:szCs w:val="22"/>
        </w:rPr>
        <w:t>I dati ricavati sono poi stati aggregati per Servizio e sommati per Area – in particolare, sono state prese in considerazione le Aree Funzionali 2 e 5 dell’organizzazione regionale – giungendo alla quantificazione della spesa per ciascuna delle categorie citate.</w:t>
      </w:r>
    </w:p>
    <w:p w:rsidR="00305358" w:rsidRPr="006E6890" w:rsidRDefault="00305358" w:rsidP="00305358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05358" w:rsidRPr="007359A7" w:rsidRDefault="00305358" w:rsidP="00305358">
      <w:pPr>
        <w:jc w:val="both"/>
        <w:rPr>
          <w:rFonts w:asciiTheme="minorHAnsi" w:hAnsiTheme="minorHAnsi" w:cstheme="minorHAnsi"/>
          <w:sz w:val="22"/>
          <w:szCs w:val="22"/>
        </w:rPr>
      </w:pPr>
      <w:r w:rsidRPr="007359A7">
        <w:rPr>
          <w:rFonts w:asciiTheme="minorHAnsi" w:hAnsiTheme="minorHAnsi" w:cstheme="minorHAnsi"/>
          <w:smallCaps/>
          <w:sz w:val="22"/>
          <w:szCs w:val="22"/>
        </w:rPr>
        <w:lastRenderedPageBreak/>
        <w:t>G</w:t>
      </w:r>
      <w:r w:rsidRPr="007359A7">
        <w:rPr>
          <w:rFonts w:asciiTheme="minorHAnsi" w:hAnsiTheme="minorHAnsi" w:cstheme="minorHAnsi"/>
          <w:sz w:val="22"/>
          <w:szCs w:val="22"/>
        </w:rPr>
        <w:t>razie alla elaborazione dei dati di bilancio e alla loro aggregazione secondo i criteri precedentemente esposti, per ciascun Servizio e per ciascuna annualità, si propone un vero e proprio bilancio di genere, presentando la composizione della spesa per rilevanza di genere.</w:t>
      </w:r>
    </w:p>
    <w:p w:rsidR="00305358" w:rsidRPr="007359A7" w:rsidRDefault="00305358" w:rsidP="00305358">
      <w:pPr>
        <w:jc w:val="both"/>
        <w:rPr>
          <w:rFonts w:asciiTheme="minorHAnsi" w:hAnsiTheme="minorHAnsi" w:cstheme="minorHAnsi"/>
          <w:sz w:val="16"/>
          <w:szCs w:val="16"/>
        </w:rPr>
      </w:pPr>
    </w:p>
    <w:p w:rsidR="00305358" w:rsidRPr="007359A7" w:rsidRDefault="00305358" w:rsidP="00305358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59A7">
        <w:rPr>
          <w:rFonts w:asciiTheme="minorHAnsi" w:hAnsiTheme="minorHAnsi" w:cstheme="minorHAnsi"/>
          <w:sz w:val="22"/>
          <w:szCs w:val="22"/>
        </w:rPr>
        <w:t>Ad essa sono associati dei grafici che sintetizzano le informazioni secondo due chiavi di lettura: la prima semplicemente rende in forma grafica la riclassificazione presentata nelle tabelle; la seconda, invece, somma gli interventi, sia di contesto che indiretti, ritenuti a forte rilevanza di genere. L’obiettivo è evidenziare a quale quota dell’intera spesa essi corrispondano.</w:t>
      </w:r>
    </w:p>
    <w:p w:rsidR="00305358" w:rsidRPr="007359A7" w:rsidRDefault="00305358" w:rsidP="00305358">
      <w:pPr>
        <w:spacing w:after="20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359A7">
        <w:rPr>
          <w:rFonts w:asciiTheme="minorHAnsi" w:hAnsiTheme="minorHAnsi" w:cstheme="minorHAnsi"/>
          <w:sz w:val="22"/>
          <w:szCs w:val="22"/>
        </w:rPr>
        <w:t>Inoltre, i grafici vengono presentati affiancati per le due annualità esaminate per motivi di sintesi. Essi non vanno tuttavia confrontati direttamente: in altri termini non è corretto comparare le percentuali che vi vengono esposte al fine di ricavarne informazioni circa l’aumento o la diminuzione - nei due anni – di determinate quantità; i dati risentono infatti fortemente dell’andamento dell’attuazione della programmazione regionale, con lo sfalsamento temporale della spesa, rispetto all’implementazione dell’azione relativa, dovuto ai tempi tecnici.</w:t>
      </w:r>
    </w:p>
    <w:p w:rsidR="00D92373" w:rsidRDefault="00D92373"/>
    <w:sectPr w:rsidR="00D92373" w:rsidSect="00D923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35B6"/>
    <w:multiLevelType w:val="hybridMultilevel"/>
    <w:tmpl w:val="3D9A98E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E174A90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05358"/>
    <w:rsid w:val="00273086"/>
    <w:rsid w:val="00305358"/>
    <w:rsid w:val="003310E8"/>
    <w:rsid w:val="003754E3"/>
    <w:rsid w:val="003D23C6"/>
    <w:rsid w:val="0048244C"/>
    <w:rsid w:val="00517238"/>
    <w:rsid w:val="005C09A4"/>
    <w:rsid w:val="00661F76"/>
    <w:rsid w:val="00721520"/>
    <w:rsid w:val="00752026"/>
    <w:rsid w:val="00796519"/>
    <w:rsid w:val="00813AD0"/>
    <w:rsid w:val="00876FD5"/>
    <w:rsid w:val="009266A9"/>
    <w:rsid w:val="009F577C"/>
    <w:rsid w:val="00A762C2"/>
    <w:rsid w:val="00B46CBA"/>
    <w:rsid w:val="00B50D88"/>
    <w:rsid w:val="00C5157F"/>
    <w:rsid w:val="00D20F52"/>
    <w:rsid w:val="00D92373"/>
    <w:rsid w:val="00EC5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053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564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rpbari</dc:creator>
  <cp:lastModifiedBy>rpbari</cp:lastModifiedBy>
  <cp:revision>1</cp:revision>
  <dcterms:created xsi:type="dcterms:W3CDTF">2013-03-20T12:11:00Z</dcterms:created>
  <dcterms:modified xsi:type="dcterms:W3CDTF">2013-03-20T12:11:00Z</dcterms:modified>
</cp:coreProperties>
</file>