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686" w:leader="none"/>
          <w:tab w:val="left" w:pos="5245" w:leader="none"/>
        </w:tabs>
        <w:ind w:left="3686" w:hanging="0"/>
        <w:rPr>
          <w:rFonts w:ascii="Calibri" w:hAnsi="Calibri"/>
          <w:sz w:val="16"/>
        </w:rPr>
      </w:pPr>
      <w:r>
        <w:rPr>
          <w:rFonts w:cs="Calibri"/>
          <w:b/>
          <w:i w:val="false"/>
          <w:iCs w:val="false"/>
          <w:sz w:val="20"/>
          <w:szCs w:val="20"/>
          <w:u w:val="single"/>
        </w:rPr>
        <w:t>AVVISO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ind w:right="-284" w:hanging="0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ind w:right="-284" w:hanging="0"/>
        <w:jc w:val="center"/>
        <w:rPr/>
      </w:pPr>
      <w:r>
        <w:rPr>
          <w:rFonts w:cs="Calibri"/>
          <w:b/>
          <w:sz w:val="20"/>
          <w:szCs w:val="20"/>
          <w:u w:val="single"/>
        </w:rPr>
        <w:t xml:space="preserve">Direttiva 91/676/CEE. Revisione delle Zone Vulnerabili da Nitrati di origine agricola. 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ind w:right="-284" w:hanging="0"/>
        <w:jc w:val="center"/>
        <w:rPr/>
      </w:pPr>
      <w:r>
        <w:rPr>
          <w:rFonts w:cs="Calibri"/>
          <w:b/>
          <w:sz w:val="20"/>
          <w:szCs w:val="20"/>
          <w:u w:val="single"/>
        </w:rPr>
        <w:t>RETTIFICA DGR n.2273 del 02.12.2019.</w:t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jc w:val="both"/>
        <w:rPr>
          <w:rFonts w:ascii="Calibri" w:hAnsi="Calibri"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4253" w:leader="none"/>
          <w:tab w:val="left" w:pos="5245" w:leader="none"/>
        </w:tabs>
        <w:jc w:val="both"/>
        <w:rPr>
          <w:rFonts w:ascii="Calibri" w:hAnsi="Calibri" w:cs="Calibri"/>
          <w:b/>
          <w:b/>
          <w:sz w:val="20"/>
          <w:szCs w:val="20"/>
          <w:u w:val="single"/>
        </w:rPr>
      </w:pPr>
      <w:r>
        <w:rPr>
          <w:rFonts w:cs="Calibri"/>
          <w:b/>
          <w:sz w:val="20"/>
          <w:szCs w:val="20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La </w:t>
      </w:r>
      <w:r>
        <w:rPr>
          <w:rFonts w:ascii="Calibri" w:hAnsi="Calibri"/>
          <w:i/>
          <w:iCs/>
        </w:rPr>
        <w:t xml:space="preserve">Sezione Risorse Idriche </w:t>
      </w:r>
      <w:r>
        <w:rPr>
          <w:rFonts w:ascii="Calibri" w:hAnsi="Calibri"/>
        </w:rPr>
        <w:t xml:space="preserve">rende noto che, a seguito della rilevazione di meri errori materiali, con </w:t>
      </w:r>
      <w:r>
        <w:rPr>
          <w:rFonts w:ascii="Calibri" w:hAnsi="Calibri"/>
          <w:b/>
          <w:bCs/>
          <w:i/>
          <w:iCs/>
        </w:rPr>
        <w:t xml:space="preserve">DGR n. </w:t>
      </w:r>
      <w:r>
        <w:rPr>
          <w:rFonts w:ascii="Calibri" w:hAnsi="Calibri"/>
          <w:b/>
          <w:bCs/>
          <w:i/>
          <w:iCs/>
          <w:sz w:val="20"/>
          <w:szCs w:val="20"/>
          <w:lang w:eastAsia="en-US"/>
        </w:rPr>
        <w:t>389</w:t>
      </w:r>
      <w:r>
        <w:rPr>
          <w:rFonts w:ascii="Calibri" w:hAnsi="Calibri"/>
          <w:b/>
          <w:bCs/>
          <w:i/>
          <w:iCs/>
        </w:rPr>
        <w:t xml:space="preserve"> del </w:t>
      </w:r>
      <w:r>
        <w:rPr>
          <w:rFonts w:ascii="Calibri" w:hAnsi="Calibri"/>
          <w:b/>
          <w:bCs/>
          <w:i/>
          <w:iCs/>
          <w:sz w:val="20"/>
          <w:szCs w:val="20"/>
          <w:lang w:eastAsia="en-US"/>
        </w:rPr>
        <w:t>19.03.2020</w:t>
      </w:r>
      <w:r>
        <w:rPr>
          <w:rFonts w:ascii="Calibri" w:hAnsi="Calibri"/>
          <w:sz w:val="20"/>
          <w:szCs w:val="20"/>
          <w:lang w:eastAsia="en-US"/>
        </w:rPr>
        <w:t xml:space="preserve"> </w:t>
      </w:r>
      <w:r>
        <w:rPr>
          <w:rFonts w:ascii="Calibri" w:hAnsi="Calibri"/>
        </w:rPr>
        <w:t xml:space="preserve">la Giunta regionale ha provveduto </w:t>
      </w:r>
      <w:r>
        <w:rPr>
          <w:rFonts w:cs="Cambria" w:ascii="Calibri" w:hAnsi="Calibri" w:cstheme="majorHAnsi"/>
        </w:rPr>
        <w:t xml:space="preserve">alla rettifica della DGR </w:t>
      </w:r>
      <w:r>
        <w:rPr>
          <w:rFonts w:cs="Times-Roman" w:ascii="Calibri" w:hAnsi="Calibri"/>
        </w:rPr>
        <w:t xml:space="preserve">n.2273 del 02.12.2019 – recante la Revisione delle Zone vulnerabili da Nitrati di origine agricola – apportando le seguenti modifiche alle tabelle contenute nell’appendice riportata in coda </w:t>
      </w:r>
      <w:r>
        <w:rPr>
          <w:rFonts w:ascii="Calibri" w:hAnsi="Calibri"/>
        </w:rPr>
        <w:t>all’Allegato 1:</w:t>
      </w:r>
    </w:p>
    <w:p>
      <w:pPr>
        <w:pStyle w:val="Normal"/>
        <w:numPr>
          <w:ilvl w:val="0"/>
          <w:numId w:val="2"/>
        </w:numPr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libri" w:hAnsi="Calibri" w:cstheme="majorHAnsi"/>
          <w:bCs/>
        </w:rPr>
        <w:t xml:space="preserve">nella tabella di </w:t>
      </w:r>
      <w:r>
        <w:rPr>
          <w:rFonts w:cs="Cambria" w:ascii="Calibri" w:hAnsi="Calibri" w:cstheme="majorHAnsi"/>
          <w:bCs/>
          <w:i/>
          <w:iCs/>
        </w:rPr>
        <w:t xml:space="preserve">pagina 52 </w:t>
      </w:r>
      <w:r>
        <w:rPr>
          <w:rFonts w:cs="Cambria" w:ascii="Calibri" w:hAnsi="Calibri" w:cstheme="majorHAnsi"/>
          <w:bCs/>
        </w:rPr>
        <w:t xml:space="preserve">sono state eliminate le righe riferite ai </w:t>
      </w:r>
      <w:r>
        <w:rPr>
          <w:rFonts w:cs="Calibri" w:ascii="Calibri" w:hAnsi="Calibri"/>
          <w:color w:val="000000"/>
        </w:rPr>
        <w:t xml:space="preserve">comuni di </w:t>
      </w:r>
      <w:r>
        <w:rPr>
          <w:rFonts w:cs="Calibri" w:ascii="Calibri" w:hAnsi="Calibri"/>
          <w:i/>
          <w:iCs/>
          <w:color w:val="000000"/>
        </w:rPr>
        <w:t>Altamura, Bitonto e Corato</w:t>
      </w:r>
      <w:r>
        <w:rPr>
          <w:rFonts w:cs="Calibri" w:ascii="Calibri" w:hAnsi="Calibri"/>
          <w:color w:val="000000"/>
        </w:rPr>
        <w:t>, in quanto già riportate alla pagina precedente;</w:t>
      </w:r>
    </w:p>
    <w:p>
      <w:pPr>
        <w:pStyle w:val="Normal"/>
        <w:numPr>
          <w:ilvl w:val="0"/>
          <w:numId w:val="2"/>
        </w:numPr>
        <w:spacing w:before="0" w:after="113"/>
        <w:rPr>
          <w:rFonts w:ascii="Cambria" w:hAnsi="Cambria" w:cs="Cambria" w:asciiTheme="majorHAnsi" w:cstheme="majorHAnsi" w:hAnsiTheme="majorHAnsi"/>
          <w:bCs/>
        </w:rPr>
      </w:pPr>
      <w:r>
        <w:rPr>
          <w:rFonts w:ascii="Calibri" w:hAnsi="Calibri"/>
        </w:rPr>
        <w:t xml:space="preserve">nella tabella di </w:t>
      </w:r>
      <w:r>
        <w:rPr>
          <w:rFonts w:ascii="Calibri" w:hAnsi="Calibri"/>
          <w:i/>
          <w:iCs/>
        </w:rPr>
        <w:t xml:space="preserve">pagina 52 </w:t>
      </w:r>
      <w:r>
        <w:rPr>
          <w:rFonts w:ascii="Calibri" w:hAnsi="Calibri"/>
        </w:rPr>
        <w:t>sono state inserite le righe</w:t>
      </w:r>
    </w:p>
    <w:tbl>
      <w:tblPr>
        <w:tblW w:w="704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5"/>
        <w:gridCol w:w="4645"/>
      </w:tblGrid>
      <w:tr>
        <w:trPr>
          <w:cantSplit w:val="true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</w:rPr>
              <w:t>PALO DEL COLLE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mbria" w:hAnsi="Cambria" w:asciiTheme="majorHAnsi" w:hAnsiTheme="majorHAnsi"/>
                <w:i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i/>
                <w:iCs/>
              </w:rPr>
              <w:t xml:space="preserve">6; 7; 15; 16; 17; 23; 24; </w:t>
            </w:r>
          </w:p>
        </w:tc>
      </w:tr>
      <w:tr>
        <w:trPr>
          <w:trHeight w:val="229" w:hRule="atLeast"/>
          <w:cantSplit w:val="true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</w:rPr>
              <w:t>POGGIORSINI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mbria" w:hAnsi="Cambria" w:asciiTheme="majorHAnsi" w:hAnsiTheme="majorHAnsi"/>
                <w:i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i/>
                <w:iCs/>
              </w:rPr>
              <w:t xml:space="preserve">7; 11; </w:t>
            </w:r>
          </w:p>
        </w:tc>
      </w:tr>
      <w:tr>
        <w:trPr>
          <w:cantSplit w:val="true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Cambria" w:hAnsi="Cambria" w:asciiTheme="majorHAnsi" w:hAnsiTheme="majorHAnsi"/>
                <w:sz w:val="20"/>
                <w:szCs w:val="20"/>
              </w:rPr>
            </w:pPr>
            <w:r>
              <w:rPr>
                <w:rFonts w:ascii="Calibri" w:hAnsi="Calibri"/>
              </w:rPr>
              <w:t>TERLIZZI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mbria" w:hAnsi="Cambria" w:asciiTheme="majorHAnsi" w:hAnsiTheme="majorHAnsi"/>
                <w:i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i/>
                <w:iCs/>
              </w:rPr>
              <w:t xml:space="preserve">1; 7; 11; 12; 13; 14; 16; 17; 21; 22; 23; 24; 30. </w:t>
            </w:r>
          </w:p>
        </w:tc>
      </w:tr>
    </w:tbl>
    <w:p>
      <w:pPr>
        <w:pStyle w:val="Normal"/>
        <w:numPr>
          <w:ilvl w:val="0"/>
          <w:numId w:val="2"/>
        </w:numPr>
        <w:spacing w:before="113" w:after="113"/>
        <w:rPr>
          <w:rFonts w:ascii="Cambria" w:hAnsi="Cambria" w:eastAsia="" w:cs="Calibri" w:asciiTheme="majorHAnsi" w:eastAsiaTheme="minorEastAsia" w:hAnsiTheme="majorHAnsi"/>
          <w:lang w:eastAsia="ja-JP"/>
        </w:rPr>
      </w:pPr>
      <w:r>
        <w:rPr>
          <w:rFonts w:ascii="Calibri" w:hAnsi="Calibri"/>
        </w:rPr>
        <w:t xml:space="preserve">nella tabella di </w:t>
      </w:r>
      <w:r>
        <w:rPr>
          <w:rFonts w:ascii="Calibri" w:hAnsi="Calibri"/>
          <w:i/>
          <w:iCs/>
        </w:rPr>
        <w:t>pagina 61</w:t>
      </w:r>
      <w:r>
        <w:rPr>
          <w:rFonts w:ascii="Calibri" w:hAnsi="Calibri"/>
        </w:rPr>
        <w:t xml:space="preserve"> è stata inserita la riga</w:t>
      </w:r>
    </w:p>
    <w:tbl>
      <w:tblPr>
        <w:tblW w:w="72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4"/>
        <w:gridCol w:w="4812"/>
      </w:tblGrid>
      <w:tr>
        <w:trPr>
          <w:cantSplit w:val="true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mbria" w:hAnsi="Cambria" w:cs="Arial" w:asciiTheme="majorHAnsi" w:hAnsiTheme="majorHAnsi"/>
                <w:iCs/>
                <w:sz w:val="20"/>
                <w:szCs w:val="20"/>
              </w:rPr>
            </w:pPr>
            <w:r>
              <w:rPr>
                <w:rFonts w:ascii="Calibri" w:hAnsi="Calibri"/>
              </w:rPr>
              <w:t>SPONGANO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mbria" w:hAnsi="Cambria" w:cs="Arial" w:asciiTheme="majorHAnsi" w:hAnsiTheme="majorHAnsi"/>
                <w:i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</w:rPr>
              <w:t>1; 2; 3; 4;</w:t>
            </w:r>
          </w:p>
        </w:tc>
      </w:tr>
    </w:tbl>
    <w:p>
      <w:pPr>
        <w:pStyle w:val="Normal"/>
        <w:numPr>
          <w:ilvl w:val="0"/>
          <w:numId w:val="0"/>
        </w:numPr>
        <w:ind w:left="360" w:hanging="0"/>
        <w:rPr>
          <w:rFonts w:ascii="Cambria" w:hAnsi="Cambria" w:cs="Cambria" w:asciiTheme="majorHAnsi" w:cstheme="majorHAnsi" w:hAnsiTheme="majorHAnsi"/>
          <w:i/>
          <w:i/>
        </w:rPr>
      </w:pPr>
      <w:r>
        <w:rPr>
          <w:rFonts w:cs="Cambria" w:cstheme="majorHAnsi" w:ascii="Calibri" w:hAnsi="Calibri"/>
          <w:i/>
        </w:rPr>
      </w:r>
    </w:p>
    <w:p>
      <w:pPr>
        <w:pStyle w:val="Normal"/>
        <w:rPr>
          <w:rFonts w:ascii="Cambria" w:hAnsi="Cambria" w:cs="Cambria" w:asciiTheme="majorHAnsi" w:cstheme="majorHAnsi" w:hAnsiTheme="majorHAnsi"/>
          <w:i/>
          <w:i/>
        </w:rPr>
      </w:pPr>
      <w:r>
        <w:rPr/>
        <w:t>Conseguentemente si intende modificato l’Allegato 1 della DGR n. 955 del 29/05/2019 relativa alla disciplina del regime di Condizionalità ai sensi del DM 17/01/2019 n. 497, applicando gli impegni definiti nel CGO1 “Direttiva 91/676/CE del Consiglio del 12/12/1991 relativa alla protezione delle acque dall’inquinamento provocato da nitrati provenienti da fonti agricole. Artt. n. 4 e 5” alle aziende agricole con terreni compresi in tutto o in parte nelle ZVN di cui all’allegato A al provvedimento.</w:t>
      </w:r>
    </w:p>
    <w:p>
      <w:pPr>
        <w:pStyle w:val="Normal"/>
        <w:rPr>
          <w:rFonts w:ascii="Cambria" w:hAnsi="Cambria" w:cs="Cambria" w:asciiTheme="majorHAnsi" w:cstheme="majorHAnsi" w:hAnsiTheme="majorHAnsi"/>
          <w:i/>
          <w:i/>
        </w:rPr>
      </w:pPr>
      <w:r>
        <w:rPr/>
      </w:r>
    </w:p>
    <w:p>
      <w:pPr>
        <w:pStyle w:val="Normal"/>
        <w:rPr>
          <w:rFonts w:ascii="Cambria" w:hAnsi="Cambria" w:cs="Cambria" w:asciiTheme="majorHAnsi" w:cstheme="majorHAnsi" w:hAnsiTheme="majorHAnsi"/>
          <w:bCs/>
        </w:rPr>
      </w:pPr>
      <w:r>
        <w:rPr>
          <w:rFonts w:eastAsia="Times New Roman" w:cs="Cambria" w:cstheme="majorHAnsi"/>
          <w:bCs/>
          <w:sz w:val="20"/>
          <w:szCs w:val="20"/>
          <w:lang w:eastAsia="it-IT"/>
        </w:rPr>
        <w:t>Al</w:t>
      </w:r>
      <w:r>
        <w:rPr>
          <w:rFonts w:cs="Cambria" w:cstheme="majorHAnsi"/>
          <w:bCs/>
        </w:rPr>
        <w:t xml:space="preserve"> fine di rendere più agevole la consultazione delle porzioni di territorio regionale soggette a vincolo in un unico documento, la deliberazione di giunta </w:t>
      </w:r>
      <w:r>
        <w:rPr>
          <w:rFonts w:eastAsia="Times New Roman" w:cs="Cambria" w:cstheme="majorHAnsi"/>
          <w:bCs/>
          <w:sz w:val="20"/>
          <w:szCs w:val="20"/>
          <w:lang w:eastAsia="it-IT"/>
        </w:rPr>
        <w:t xml:space="preserve">ha provveduto ad approvare la nuova </w:t>
      </w:r>
      <w:r>
        <w:rPr>
          <w:rFonts w:eastAsia="Times New Roman" w:cs="Calibri"/>
          <w:b/>
          <w:bCs/>
          <w:sz w:val="20"/>
          <w:szCs w:val="20"/>
          <w:lang w:eastAsia="it-IT"/>
        </w:rPr>
        <w:t xml:space="preserve">Appendice </w:t>
      </w:r>
      <w:r>
        <w:rPr>
          <w:rFonts w:eastAsia="Times New Roman" w:cs="Cambria" w:cstheme="majorHAnsi"/>
          <w:b/>
          <w:bCs/>
          <w:sz w:val="20"/>
          <w:szCs w:val="20"/>
          <w:lang w:eastAsia="it-IT"/>
        </w:rPr>
        <w:t xml:space="preserve"> </w:t>
      </w:r>
      <w:r>
        <w:rPr>
          <w:rFonts w:eastAsia="Times New Roman" w:cs="Cambria" w:cstheme="majorHAnsi"/>
          <w:b/>
          <w:bCs/>
          <w:i/>
          <w:sz w:val="20"/>
          <w:szCs w:val="20"/>
          <w:lang w:eastAsia="it-IT"/>
        </w:rPr>
        <w:t xml:space="preserve">“Perimetrazione delle Zone Vulnerabili da Nitrati di origine agricola – ZVN 2019”  </w:t>
      </w:r>
      <w:r>
        <w:rPr>
          <w:rFonts w:eastAsia="Times New Roman" w:cs="Cambria" w:cstheme="majorHAnsi"/>
          <w:b w:val="false"/>
          <w:bCs w:val="false"/>
          <w:i w:val="false"/>
          <w:iCs w:val="false"/>
          <w:sz w:val="20"/>
          <w:szCs w:val="20"/>
          <w:lang w:eastAsia="it-IT"/>
        </w:rPr>
        <w:t xml:space="preserve">che </w:t>
      </w:r>
      <w:r>
        <w:rPr>
          <w:rFonts w:eastAsia="Times New Roman" w:cs="Cambria" w:cstheme="majorHAnsi"/>
          <w:b w:val="false"/>
          <w:bCs/>
          <w:i w:val="false"/>
          <w:iCs w:val="false"/>
          <w:sz w:val="20"/>
          <w:szCs w:val="20"/>
          <w:lang w:eastAsia="it-IT"/>
        </w:rPr>
        <w:t>rettifica i suddetti errori/omissioni.</w:t>
      </w:r>
    </w:p>
    <w:p>
      <w:pPr>
        <w:pStyle w:val="Normal"/>
        <w:rPr>
          <w:rFonts w:ascii="Cambria" w:hAnsi="Cambria" w:asciiTheme="majorHAnsi" w:hAnsiTheme="majorHAnsi"/>
        </w:rPr>
      </w:pPr>
      <w:r>
        <w:rPr>
          <w:rFonts w:eastAsia="Tahoma" w:cs="Tahoma"/>
          <w:b w:val="false"/>
          <w:bCs/>
          <w:i w:val="false"/>
          <w:iCs w:val="false"/>
          <w:sz w:val="20"/>
          <w:szCs w:val="20"/>
          <w:lang w:eastAsia="it-IT"/>
        </w:rPr>
        <w:t>Si precisa infine</w:t>
      </w:r>
      <w:r>
        <w:rPr>
          <w:rFonts w:eastAsia="Tahoma" w:cs="Tahoma"/>
          <w:b/>
          <w:bCs/>
          <w:i w:val="false"/>
          <w:iCs w:val="false"/>
          <w:sz w:val="20"/>
          <w:szCs w:val="20"/>
          <w:lang w:eastAsia="it-IT"/>
        </w:rPr>
        <w:t xml:space="preserve"> </w:t>
      </w:r>
      <w:r>
        <w:rPr>
          <w:rFonts w:eastAsia="Tahoma" w:cs="Tahoma"/>
          <w:b w:val="false"/>
          <w:bCs/>
          <w:i w:val="false"/>
          <w:iCs w:val="false"/>
          <w:sz w:val="20"/>
          <w:szCs w:val="20"/>
          <w:lang w:eastAsia="it-IT"/>
        </w:rPr>
        <w:t xml:space="preserve">che  </w:t>
      </w:r>
      <w:r>
        <w:rPr>
          <w:rFonts w:eastAsia="Times New Roman" w:cs="Cambria" w:cstheme="majorHAnsi"/>
          <w:b w:val="false"/>
          <w:bCs/>
          <w:i w:val="false"/>
          <w:iCs w:val="false"/>
          <w:sz w:val="20"/>
          <w:szCs w:val="20"/>
          <w:lang w:eastAsia="it-IT"/>
        </w:rPr>
        <w:t xml:space="preserve">gli strati informativi relativi alla </w:t>
      </w:r>
      <w:r>
        <w:rPr>
          <w:rFonts w:eastAsia="Times New Roman" w:cs="Calibri"/>
          <w:b w:val="false"/>
          <w:bCs/>
          <w:i w:val="false"/>
          <w:iCs w:val="false"/>
          <w:sz w:val="20"/>
          <w:szCs w:val="20"/>
          <w:lang w:eastAsia="it-IT"/>
        </w:rPr>
        <w:t>perimetrazione delle ZVN</w:t>
      </w:r>
      <w:r>
        <w:rPr>
          <w:rFonts w:eastAsia="Times New Roman" w:cs="Cambria" w:cstheme="majorHAnsi"/>
          <w:b w:val="false"/>
          <w:bCs/>
          <w:i w:val="false"/>
          <w:iCs w:val="false"/>
          <w:sz w:val="20"/>
          <w:szCs w:val="20"/>
          <w:lang w:eastAsia="it-IT"/>
        </w:rPr>
        <w:t xml:space="preserve"> (</w:t>
      </w:r>
      <w:r>
        <w:rPr>
          <w:rFonts w:eastAsia="Times New Roman" w:cs="Cambria" w:cstheme="majorHAnsi"/>
          <w:b w:val="false"/>
          <w:bCs/>
          <w:i/>
          <w:iCs w:val="false"/>
          <w:sz w:val="20"/>
          <w:szCs w:val="20"/>
          <w:lang w:eastAsia="it-IT"/>
        </w:rPr>
        <w:t>shape file</w:t>
      </w:r>
      <w:r>
        <w:rPr>
          <w:rFonts w:eastAsia="Times New Roman" w:cs="Cambria" w:cstheme="majorHAnsi"/>
          <w:b w:val="false"/>
          <w:bCs/>
          <w:i w:val="false"/>
          <w:iCs w:val="false"/>
          <w:sz w:val="20"/>
          <w:szCs w:val="20"/>
          <w:lang w:eastAsia="it-IT"/>
        </w:rPr>
        <w:t xml:space="preserve">) depositati agli atti della Sezione Risorse Idriche e già pubblicati sul sito internet regionale, nella sezione dedicata del portale </w:t>
      </w:r>
      <w:r>
        <w:rPr>
          <w:rFonts w:eastAsia="Times New Roman" w:cs="Cambria" w:cstheme="majorHAnsi"/>
          <w:b w:val="false"/>
          <w:bCs/>
          <w:i/>
          <w:iCs w:val="false"/>
          <w:sz w:val="20"/>
          <w:szCs w:val="20"/>
          <w:lang w:eastAsia="it-IT"/>
        </w:rPr>
        <w:t xml:space="preserve">www.sit.puglia.it, </w:t>
      </w:r>
      <w:r>
        <w:rPr>
          <w:rFonts w:eastAsia="Times New Roman" w:cs="Cambria" w:cstheme="majorHAnsi"/>
          <w:b w:val="false"/>
          <w:bCs/>
          <w:i w:val="false"/>
          <w:iCs w:val="false"/>
          <w:sz w:val="20"/>
          <w:szCs w:val="20"/>
          <w:lang w:eastAsia="it-IT"/>
        </w:rPr>
        <w:t>sono esenti dai suddetti errori e pertanto rimangono validi.</w:t>
      </w:r>
    </w:p>
    <w:sectPr>
      <w:headerReference w:type="default" r:id="rId2"/>
      <w:footerReference w:type="default" r:id="rId3"/>
      <w:type w:val="nextPage"/>
      <w:pgSz w:w="11906" w:h="16838"/>
      <w:pgMar w:left="2268" w:right="2125" w:header="993" w:top="2410" w:footer="709" w:bottom="2552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Calibri" w:hAnsi="Calibri"/>
        <w:b/>
        <w:b/>
        <w:color w:val="000000"/>
        <w:sz w:val="22"/>
      </w:rPr>
    </w:pPr>
    <w:hyperlink r:id="rId1">
      <w:r>
        <w:rPr>
          <w:rStyle w:val="CollegamentoInternet"/>
          <w:b/>
          <w:color w:val="000000"/>
          <w:sz w:val="22"/>
          <w:u w:val="none"/>
        </w:rPr>
        <w:t>www.regione.puglia.it</w:t>
      </w:r>
    </w:hyperlink>
  </w:p>
  <w:p>
    <w:pPr>
      <w:pStyle w:val="Pidipagina"/>
      <w:rPr>
        <w:rFonts w:ascii="Calibri" w:hAnsi="Calibri"/>
        <w:b/>
        <w:b/>
        <w:sz w:val="28"/>
      </w:rPr>
    </w:pPr>
    <w:r>
      <w:rPr>
        <w:b/>
        <w:sz w:val="28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-15875</wp:posOffset>
              </wp:positionH>
              <wp:positionV relativeFrom="paragraph">
                <wp:posOffset>86360</wp:posOffset>
              </wp:positionV>
              <wp:extent cx="3369945" cy="1270"/>
              <wp:effectExtent l="0" t="0" r="0" b="0"/>
              <wp:wrapSquare wrapText="bothSides"/>
              <wp:docPr id="4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924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25pt,6.8pt" to="264pt,6.8pt" ID="Line 1" stroked="t" style="position:absolute">
              <v:stroke color="#1f497d" weight="12600" joinstyle="round" endcap="flat"/>
              <v:fill o:detectmouseclick="t" on="false"/>
            </v:line>
          </w:pict>
        </mc:Fallback>
      </mc:AlternateContent>
    </w:r>
  </w:p>
  <w:p>
    <w:pPr>
      <w:pStyle w:val="Normal"/>
      <w:spacing w:lineRule="exact" w:line="210"/>
      <w:rPr>
        <w:rFonts w:ascii="Calibri" w:hAnsi="Calibri"/>
        <w:b/>
        <w:b/>
        <w:sz w:val="18"/>
      </w:rPr>
    </w:pPr>
    <w:r>
      <w:rPr>
        <w:b/>
        <w:sz w:val="18"/>
      </w:rPr>
      <w:t>Sezione Risorse Idriche</w:t>
    </w:r>
  </w:p>
  <w:p>
    <w:pPr>
      <w:pStyle w:val="Pidipagina"/>
      <w:rPr>
        <w:rFonts w:ascii="Calibri" w:hAnsi="Calibri"/>
        <w:sz w:val="18"/>
      </w:rPr>
    </w:pPr>
    <w:r>
      <w:rPr>
        <w:sz w:val="18"/>
      </w:rPr>
      <w:t xml:space="preserve">Lungomare Nazario Sauro 47/49 – 70121 BARI - Tel: 080 540 4385 – 7842 - 7684 </w:t>
    </w:r>
  </w:p>
  <w:p>
    <w:pPr>
      <w:pStyle w:val="Normal"/>
      <w:spacing w:lineRule="exact" w:line="210"/>
      <w:rPr>
        <w:rFonts w:ascii="Calibri" w:hAnsi="Calibri"/>
        <w:sz w:val="18"/>
        <w:lang w:val="en-GB"/>
      </w:rPr>
    </w:pPr>
    <w:r>
      <w:rPr>
        <w:sz w:val="18"/>
      </w:rPr>
      <w:t xml:space="preserve">mail: </w:t>
    </w:r>
    <w:hyperlink r:id="rId2">
      <w:r>
        <w:rPr>
          <w:rStyle w:val="CollegamentoInternet"/>
          <w:sz w:val="18"/>
        </w:rPr>
        <w:t>servizio.risorseidriche@regione.puglia.it</w:t>
      </w:r>
    </w:hyperlink>
    <w:r>
      <w:rPr>
        <w:sz w:val="18"/>
      </w:rPr>
      <w:t xml:space="preserve"> - pec: </w:t>
    </w:r>
    <w:hyperlink r:id="rId3">
      <w:r>
        <w:rPr>
          <w:rStyle w:val="CollegamentoInternet"/>
          <w:sz w:val="18"/>
        </w:rPr>
        <w:t>servizio.risorseidriche@pec.rupar.puglia.it</w:t>
      </w:r>
    </w:hyperlink>
  </w:p>
  <w:p>
    <w:pPr>
      <w:pStyle w:val="Pidipagina"/>
      <w:rPr>
        <w:rFonts w:ascii="Calibri" w:hAnsi="Calibri"/>
        <w:sz w:val="18"/>
        <w:lang w:val="en-GB"/>
      </w:rPr>
    </w:pPr>
    <w:r>
      <w:rPr>
        <w:sz w:val="18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16"/>
      <w:ind w:left="3402" w:hanging="0"/>
      <w:rPr>
        <w:rFonts w:ascii="Calibri" w:hAnsi="Calibri"/>
        <w:b/>
        <w:b/>
        <w:color w:val="009149"/>
        <w:sz w:val="21"/>
      </w:rPr>
    </w:pPr>
    <w:r>
      <w:rPr>
        <w:b/>
        <w:color w:val="009149"/>
        <w:sz w:val="21"/>
      </w:rP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184400" cy="1060450"/>
          <wp:effectExtent l="0" t="0" r="0" b="0"/>
          <wp:wrapTight wrapText="bothSides">
            <wp:wrapPolygon edited="0">
              <wp:start x="-265" y="0"/>
              <wp:lineTo x="-265" y="21255"/>
              <wp:lineTo x="21657" y="21255"/>
              <wp:lineTo x="21657" y="0"/>
              <wp:lineTo x="-265" y="0"/>
            </wp:wrapPolygon>
          </wp:wrapTight>
          <wp:docPr id="1" name="Immagine 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106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4440" w:leader="none"/>
      </w:tabs>
      <w:spacing w:lineRule="auto" w:line="216"/>
      <w:ind w:left="3402" w:hanging="0"/>
      <w:rPr>
        <w:rFonts w:ascii="Calibri" w:hAnsi="Calibri"/>
        <w:b/>
        <w:b/>
        <w:color w:val="008000"/>
        <w:sz w:val="10"/>
      </w:rPr>
    </w:pPr>
    <w:r>
      <w:rPr>
        <w:b/>
        <w:color w:val="008000"/>
        <w:sz w:val="10"/>
      </w:rPr>
      <w:tab/>
    </w:r>
  </w:p>
  <w:p>
    <w:pPr>
      <w:pStyle w:val="Normal"/>
      <w:spacing w:lineRule="auto" w:line="216"/>
      <w:ind w:left="2127" w:hanging="0"/>
      <w:rPr>
        <w:rFonts w:ascii="Calibri" w:hAnsi="Calibri"/>
        <w:b/>
        <w:b/>
        <w:color w:val="1F497D" w:themeColor="text2"/>
        <w:sz w:val="21"/>
      </w:rPr>
    </w:pPr>
    <w:r>
      <w:rPr>
        <w:b/>
        <w:color w:val="1F497D" w:themeColor="text2"/>
        <w:sz w:val="21"/>
      </w:rPr>
      <w:t>DIPARTIMENTO AGRICOLTURA, SVILUPPO RURALE ED AMBIENTALE</w:t>
    </w:r>
  </w:p>
  <w:p>
    <w:pPr>
      <w:pStyle w:val="Normal"/>
      <w:spacing w:lineRule="auto" w:line="216"/>
      <w:ind w:left="2127" w:hanging="0"/>
      <w:rPr>
        <w:rFonts w:ascii="Calibri" w:hAnsi="Calibri"/>
        <w:b/>
        <w:b/>
        <w:sz w:val="21"/>
      </w:rPr>
    </w:pPr>
    <w:r>
      <w:rPr>
        <w:b/>
        <w:sz w:val="21"/>
      </w:rPr>
      <w:tab/>
    </w:r>
  </w:p>
  <w:p>
    <w:pPr>
      <w:pStyle w:val="Normal"/>
      <w:spacing w:lineRule="auto" w:line="216"/>
      <w:ind w:left="2127" w:hanging="0"/>
      <w:rPr>
        <w:rFonts w:ascii="Calibri" w:hAnsi="Calibri"/>
        <w:b/>
        <w:b/>
        <w:sz w:val="26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753110</wp:posOffset>
              </wp:positionH>
              <wp:positionV relativeFrom="paragraph">
                <wp:posOffset>-403860</wp:posOffset>
              </wp:positionV>
              <wp:extent cx="1270" cy="1270"/>
              <wp:effectExtent l="0" t="0" r="0" b="0"/>
              <wp:wrapNone/>
              <wp:docPr id="2" name="Line 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4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5336e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9.3pt,-31.8pt" to="59.35pt,-31.8pt" ID="Line 33" stroked="t" style="position:absolute;flip:x">
              <v:stroke color="#05336e" weight="12600" joinstyle="round" endcap="flat"/>
              <v:fill o:detectmouseclick="t" on="false"/>
            </v:line>
          </w:pict>
        </mc:Fallback>
      </mc:AlternateContent>
    </w:r>
    <w:r>
      <w:rPr>
        <w:b/>
        <w:sz w:val="21"/>
      </w:rPr>
      <w:t>SEZIONE  RISORSE IDRICHE</w:t>
    </w:r>
  </w:p>
  <w:p>
    <w:pPr>
      <w:pStyle w:val="Normal"/>
      <w:tabs>
        <w:tab w:val="clear" w:pos="708"/>
        <w:tab w:val="left" w:pos="4253" w:leader="none"/>
        <w:tab w:val="left" w:pos="4395" w:leader="none"/>
      </w:tabs>
      <w:spacing w:lineRule="exact" w:line="220"/>
      <w:ind w:left="3402" w:hanging="0"/>
      <w:rPr>
        <w:rFonts w:ascii="Calibri" w:hAnsi="Calibri"/>
        <w:b/>
        <w:b/>
        <w:w w:val="90"/>
        <w:sz w:val="21"/>
      </w:rPr>
    </w:pPr>
    <w:r>
      <w:rPr>
        <w:b/>
        <w:w w:val="90"/>
        <w:sz w:val="21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10795</wp:posOffset>
              </wp:positionH>
              <wp:positionV relativeFrom="paragraph">
                <wp:posOffset>2540</wp:posOffset>
              </wp:positionV>
              <wp:extent cx="3610610" cy="1270"/>
              <wp:effectExtent l="0" t="0" r="0" b="0"/>
              <wp:wrapNone/>
              <wp:docPr id="3" name="Line 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00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5336e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5pt,0.2pt" to="285.05pt,0.2pt" ID="Line 32" stroked="t" style="position:absolute">
              <v:stroke color="#05336e" weight="1260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styleId="Normal" w:default="1">
    <w:name w:val="Normal"/>
    <w:qFormat/>
    <w:rsid w:val="0064283a"/>
    <w:pPr>
      <w:widowControl/>
      <w:bidi w:val="0"/>
      <w:spacing w:before="0" w:after="0"/>
      <w:jc w:val="both"/>
    </w:pPr>
    <w:rPr>
      <w:rFonts w:ascii="Calibri" w:hAnsi="Calibri" w:eastAsia="Cambria" w:cs="Times New Roman"/>
      <w:color w:val="auto"/>
      <w:kern w:val="0"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predefinitoparagrafo" w:customStyle="1">
    <w:name w:val="Font predefinito paragrafo"/>
    <w:qFormat/>
    <w:rsid w:val="0064283a"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82ddb"/>
    <w:rPr>
      <w:sz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82ddb"/>
    <w:rPr>
      <w:sz w:val="24"/>
    </w:rPr>
  </w:style>
  <w:style w:type="character" w:styleId="CollegamentoInternet">
    <w:name w:val="Collegamento Internet"/>
    <w:basedOn w:val="DefaultParagraphFont"/>
    <w:rsid w:val="00885342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2457a0"/>
    <w:rPr/>
  </w:style>
  <w:style w:type="character" w:styleId="TestofumettoCarattere" w:customStyle="1">
    <w:name w:val="Testo fumetto Carattere"/>
    <w:basedOn w:val="DefaultParagraphFont"/>
    <w:link w:val="Testofumetto"/>
    <w:qFormat/>
    <w:rsid w:val="00516cff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qFormat/>
    <w:rsid w:val="00ef0a7d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ef0a7d"/>
    <w:rPr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qFormat/>
    <w:rsid w:val="00ef0a7d"/>
    <w:rPr>
      <w:b/>
      <w:bCs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82dd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82dd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rsid w:val="00d47ea9"/>
    <w:pPr>
      <w:spacing w:lineRule="auto" w:line="276" w:before="0" w:after="200"/>
      <w:ind w:left="720" w:hanging="0"/>
    </w:pPr>
    <w:rPr>
      <w:rFonts w:ascii="Calibri" w:hAnsi="Calibri" w:eastAsia="Times New Roman" w:cs="Calibri"/>
      <w:sz w:val="22"/>
      <w:szCs w:val="22"/>
    </w:rPr>
  </w:style>
  <w:style w:type="paragraph" w:styleId="BalloonText">
    <w:name w:val="Balloon Text"/>
    <w:basedOn w:val="Normal"/>
    <w:link w:val="TestofumettoCarattere"/>
    <w:qFormat/>
    <w:rsid w:val="00516cff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qFormat/>
    <w:rsid w:val="00ef0a7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qFormat/>
    <w:rsid w:val="00ef0a7d"/>
    <w:pPr/>
    <w:rPr>
      <w:b/>
      <w:bCs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Calibri" w:hAnsi="Calibri" w:eastAsia="Cambria" w:cs="Calibri"/>
      <w:color w:val="000000"/>
      <w:kern w:val="0"/>
      <w:sz w:val="24"/>
      <w:szCs w:val="24"/>
      <w:lang w:val="it-IT" w:eastAsia="it-IT" w:bidi="ar-SA"/>
    </w:rPr>
  </w:style>
  <w:style w:type="paragraph" w:styleId="Corpo">
    <w:name w:val="Corpo"/>
    <w:basedOn w:val="Normal"/>
    <w:qFormat/>
    <w:pPr>
      <w:tabs>
        <w:tab w:val="clear" w:pos="708"/>
        <w:tab w:val="left" w:pos="4990" w:leader="none"/>
        <w:tab w:val="left" w:pos="9979" w:leader="none"/>
      </w:tabs>
      <w:spacing w:before="120" w:after="0"/>
      <w:ind w:firstLine="340"/>
      <w:jc w:val="both"/>
    </w:pPr>
    <w:rPr>
      <w:rFonts w:ascii="Times New Roman" w:hAnsi="Times New Roman" w:eastAsia="Times New Roman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506b3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regione.puglia.it/" TargetMode="External"/><Relationship Id="rId2" Type="http://schemas.openxmlformats.org/officeDocument/2006/relationships/hyperlink" Target="mailto:servizio.risorseidriche@regione.puglia.it" TargetMode="External"/><Relationship Id="rId3" Type="http://schemas.openxmlformats.org/officeDocument/2006/relationships/hyperlink" Target="mailto:servizio.risorseidriche@pec.rupar.puglia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0841D-3DA5-41E9-8236-15413E2F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LibreOffice/6.4.1.2$Windows_X86_64 LibreOffice_project/4d224e95b98b138af42a64d84056446d09082932</Application>
  <Pages>1</Pages>
  <Words>351</Words>
  <Characters>2014</Characters>
  <CharactersWithSpaces>2354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2020-03-20T11:10:00Z</dcterms:created>
  <dc:creator>Elisa</dc:creator>
  <dc:description/>
  <dc:language>it-IT</dc:language>
  <cp:lastModifiedBy/>
  <cp:lastPrinted>2020-03-20T10:46:00Z</cp:lastPrinted>
  <dcterms:modified xsi:type="dcterms:W3CDTF">2020-04-01T13:04:29Z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