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8AE" w:rsidRDefault="000E781A" w:rsidP="00B043C1">
      <w:pPr>
        <w:spacing w:after="0" w:line="276" w:lineRule="auto"/>
        <w:jc w:val="center"/>
        <w:rPr>
          <w:b/>
          <w:bCs/>
          <w:color w:val="auto"/>
          <w:sz w:val="30"/>
          <w:szCs w:val="30"/>
        </w:rPr>
      </w:pPr>
      <w:r w:rsidRPr="00D73C20">
        <w:rPr>
          <w:b/>
          <w:bCs/>
          <w:color w:val="auto"/>
          <w:sz w:val="32"/>
          <w:szCs w:val="31"/>
        </w:rPr>
        <w:t>COMUNICATO STAMPA</w:t>
      </w:r>
      <w:r w:rsidRPr="00D73C20">
        <w:rPr>
          <w:b/>
          <w:bCs/>
          <w:color w:val="auto"/>
          <w:sz w:val="32"/>
          <w:szCs w:val="31"/>
        </w:rPr>
        <w:br/>
      </w:r>
      <w:r w:rsidR="00036428" w:rsidRPr="00862034">
        <w:rPr>
          <w:b/>
          <w:bCs/>
          <w:color w:val="auto"/>
          <w:sz w:val="30"/>
          <w:szCs w:val="30"/>
        </w:rPr>
        <w:t xml:space="preserve">CORONAVIRUS: </w:t>
      </w:r>
      <w:r w:rsidR="00B043C1">
        <w:rPr>
          <w:b/>
          <w:bCs/>
          <w:color w:val="auto"/>
          <w:sz w:val="30"/>
          <w:szCs w:val="30"/>
        </w:rPr>
        <w:t>NELL’ULTIMA SETTIMANA PROSEGUE LA DISCESA DEI CONTAGI (-27,5%)</w:t>
      </w:r>
      <w:r w:rsidR="00EA78AE">
        <w:rPr>
          <w:b/>
          <w:bCs/>
          <w:color w:val="auto"/>
          <w:sz w:val="30"/>
          <w:szCs w:val="30"/>
        </w:rPr>
        <w:t>,</w:t>
      </w:r>
      <w:r w:rsidR="00B043C1">
        <w:rPr>
          <w:b/>
          <w:bCs/>
          <w:color w:val="auto"/>
          <w:sz w:val="30"/>
          <w:szCs w:val="30"/>
        </w:rPr>
        <w:t xml:space="preserve"> MA C</w:t>
      </w:r>
      <w:bookmarkStart w:id="0" w:name="_GoBack"/>
      <w:bookmarkEnd w:id="0"/>
      <w:r w:rsidR="00B043C1">
        <w:rPr>
          <w:b/>
          <w:bCs/>
          <w:color w:val="auto"/>
          <w:sz w:val="30"/>
          <w:szCs w:val="30"/>
        </w:rPr>
        <w:t xml:space="preserve">ON NETTA RIDUZIONE DEI TAMPONI (-23,6%). </w:t>
      </w:r>
    </w:p>
    <w:p w:rsidR="00424111" w:rsidRPr="00B043C1" w:rsidRDefault="00B043C1" w:rsidP="00B043C1">
      <w:pPr>
        <w:spacing w:after="0" w:line="276" w:lineRule="auto"/>
        <w:jc w:val="center"/>
        <w:rPr>
          <w:b/>
          <w:bCs/>
          <w:color w:val="auto"/>
          <w:sz w:val="30"/>
          <w:szCs w:val="30"/>
        </w:rPr>
      </w:pPr>
      <w:r>
        <w:rPr>
          <w:b/>
          <w:bCs/>
          <w:color w:val="auto"/>
          <w:sz w:val="30"/>
          <w:szCs w:val="30"/>
        </w:rPr>
        <w:t>GIÙ DECESSI (-12,5%), RICOVERI ORDINARI (-11,5%) E LIEVE FLESSIONE DELLE</w:t>
      </w:r>
      <w:r w:rsidR="00036428" w:rsidRPr="00862034">
        <w:rPr>
          <w:b/>
          <w:bCs/>
          <w:color w:val="auto"/>
          <w:sz w:val="30"/>
          <w:szCs w:val="30"/>
        </w:rPr>
        <w:t xml:space="preserve"> TERAPIE INTENSIVE</w:t>
      </w:r>
      <w:r>
        <w:rPr>
          <w:b/>
          <w:bCs/>
          <w:color w:val="auto"/>
          <w:sz w:val="30"/>
          <w:szCs w:val="30"/>
        </w:rPr>
        <w:t xml:space="preserve"> (-2,2%).</w:t>
      </w:r>
      <w:r w:rsidR="00036428" w:rsidRPr="00862034">
        <w:rPr>
          <w:b/>
          <w:bCs/>
          <w:color w:val="auto"/>
          <w:sz w:val="30"/>
          <w:szCs w:val="30"/>
        </w:rPr>
        <w:t xml:space="preserve"> </w:t>
      </w:r>
    </w:p>
    <w:p w:rsidR="00D205CA" w:rsidRPr="00A47A28" w:rsidRDefault="00D77D4F" w:rsidP="00D77D4F">
      <w:pPr>
        <w:spacing w:after="0" w:line="276" w:lineRule="auto"/>
        <w:jc w:val="center"/>
        <w:rPr>
          <w:b/>
          <w:bCs/>
          <w:color w:val="auto"/>
          <w:sz w:val="30"/>
          <w:szCs w:val="30"/>
        </w:rPr>
      </w:pPr>
      <w:r>
        <w:rPr>
          <w:b/>
          <w:bCs/>
          <w:color w:val="auto"/>
          <w:sz w:val="30"/>
          <w:szCs w:val="30"/>
        </w:rPr>
        <w:t xml:space="preserve">NUOVE </w:t>
      </w:r>
      <w:r w:rsidR="001F2C8A">
        <w:rPr>
          <w:b/>
          <w:bCs/>
          <w:color w:val="auto"/>
          <w:sz w:val="30"/>
          <w:szCs w:val="30"/>
        </w:rPr>
        <w:t>SOTTOVARIANTI</w:t>
      </w:r>
      <w:r w:rsidR="00EA78AE">
        <w:rPr>
          <w:b/>
          <w:bCs/>
          <w:color w:val="auto"/>
          <w:sz w:val="30"/>
          <w:szCs w:val="30"/>
        </w:rPr>
        <w:t xml:space="preserve"> OMICRON</w:t>
      </w:r>
      <w:r>
        <w:rPr>
          <w:b/>
          <w:bCs/>
          <w:color w:val="auto"/>
          <w:sz w:val="30"/>
          <w:szCs w:val="30"/>
        </w:rPr>
        <w:t xml:space="preserve">: PIÙ </w:t>
      </w:r>
      <w:r w:rsidR="00862034">
        <w:rPr>
          <w:b/>
          <w:bCs/>
          <w:color w:val="auto"/>
          <w:sz w:val="30"/>
          <w:szCs w:val="30"/>
        </w:rPr>
        <w:t>CONTAGIOSE</w:t>
      </w:r>
      <w:r w:rsidR="00EA78AE">
        <w:rPr>
          <w:b/>
          <w:bCs/>
          <w:color w:val="auto"/>
          <w:sz w:val="30"/>
          <w:szCs w:val="30"/>
        </w:rPr>
        <w:t xml:space="preserve"> ED</w:t>
      </w:r>
      <w:r w:rsidR="009041E2">
        <w:rPr>
          <w:b/>
          <w:bCs/>
          <w:color w:val="auto"/>
          <w:sz w:val="30"/>
          <w:szCs w:val="30"/>
        </w:rPr>
        <w:t xml:space="preserve"> EVADONO</w:t>
      </w:r>
      <w:r w:rsidR="00862034">
        <w:rPr>
          <w:b/>
          <w:bCs/>
          <w:color w:val="auto"/>
          <w:sz w:val="30"/>
          <w:szCs w:val="30"/>
        </w:rPr>
        <w:t xml:space="preserve"> </w:t>
      </w:r>
      <w:r>
        <w:rPr>
          <w:b/>
          <w:bCs/>
          <w:color w:val="auto"/>
          <w:sz w:val="30"/>
          <w:szCs w:val="30"/>
        </w:rPr>
        <w:t>LA RISPOSTA IMMUNITARIA</w:t>
      </w:r>
      <w:r w:rsidR="00054A26">
        <w:rPr>
          <w:b/>
          <w:bCs/>
          <w:color w:val="auto"/>
          <w:sz w:val="30"/>
          <w:szCs w:val="30"/>
        </w:rPr>
        <w:t>.</w:t>
      </w:r>
      <w:r>
        <w:rPr>
          <w:b/>
          <w:bCs/>
          <w:color w:val="auto"/>
          <w:sz w:val="30"/>
          <w:szCs w:val="30"/>
        </w:rPr>
        <w:br/>
      </w:r>
      <w:r w:rsidR="00036428" w:rsidRPr="00D77D4F">
        <w:rPr>
          <w:b/>
          <w:bCs/>
          <w:color w:val="auto"/>
          <w:sz w:val="30"/>
          <w:szCs w:val="30"/>
        </w:rPr>
        <w:t>QUARTA DOSE</w:t>
      </w:r>
      <w:r w:rsidR="00424111" w:rsidRPr="00D77D4F">
        <w:rPr>
          <w:b/>
          <w:bCs/>
          <w:color w:val="auto"/>
          <w:sz w:val="30"/>
          <w:szCs w:val="30"/>
        </w:rPr>
        <w:t xml:space="preserve"> </w:t>
      </w:r>
      <w:r w:rsidRPr="00D77D4F">
        <w:rPr>
          <w:b/>
          <w:bCs/>
          <w:color w:val="auto"/>
          <w:sz w:val="30"/>
          <w:szCs w:val="30"/>
        </w:rPr>
        <w:t xml:space="preserve">NON </w:t>
      </w:r>
      <w:r w:rsidR="001F2C8A">
        <w:rPr>
          <w:b/>
          <w:bCs/>
          <w:color w:val="auto"/>
          <w:sz w:val="30"/>
          <w:szCs w:val="30"/>
        </w:rPr>
        <w:t>ING</w:t>
      </w:r>
      <w:r w:rsidR="001F2C8A" w:rsidRPr="00054A26">
        <w:rPr>
          <w:b/>
          <w:bCs/>
          <w:color w:val="auto"/>
          <w:sz w:val="30"/>
          <w:szCs w:val="30"/>
        </w:rPr>
        <w:t>RANA</w:t>
      </w:r>
      <w:r w:rsidR="00036428" w:rsidRPr="00054A26">
        <w:rPr>
          <w:b/>
          <w:bCs/>
          <w:color w:val="auto"/>
          <w:sz w:val="30"/>
          <w:szCs w:val="30"/>
        </w:rPr>
        <w:t xml:space="preserve">: </w:t>
      </w:r>
      <w:r w:rsidR="00054A26">
        <w:rPr>
          <w:b/>
          <w:bCs/>
          <w:color w:val="auto"/>
          <w:sz w:val="30"/>
          <w:szCs w:val="30"/>
        </w:rPr>
        <w:t xml:space="preserve">COPERTI </w:t>
      </w:r>
      <w:r w:rsidR="00F93621">
        <w:rPr>
          <w:b/>
          <w:bCs/>
          <w:color w:val="auto"/>
          <w:sz w:val="30"/>
          <w:szCs w:val="30"/>
        </w:rPr>
        <w:t xml:space="preserve">SOLO </w:t>
      </w:r>
      <w:r w:rsidR="00036428" w:rsidRPr="00054A26">
        <w:rPr>
          <w:b/>
          <w:bCs/>
          <w:color w:val="auto"/>
          <w:sz w:val="30"/>
          <w:szCs w:val="30"/>
        </w:rPr>
        <w:t>1</w:t>
      </w:r>
      <w:r w:rsidR="00054A26" w:rsidRPr="00054A26">
        <w:rPr>
          <w:b/>
          <w:bCs/>
          <w:color w:val="auto"/>
          <w:sz w:val="30"/>
          <w:szCs w:val="30"/>
        </w:rPr>
        <w:t>66</w:t>
      </w:r>
      <w:r w:rsidR="00036428" w:rsidRPr="00054A26">
        <w:rPr>
          <w:b/>
          <w:bCs/>
          <w:color w:val="auto"/>
          <w:sz w:val="30"/>
          <w:szCs w:val="30"/>
        </w:rPr>
        <w:t xml:space="preserve"> MILA IMMUNOCOMPROMESSI (</w:t>
      </w:r>
      <w:r w:rsidR="00054A26" w:rsidRPr="00054A26">
        <w:rPr>
          <w:b/>
          <w:bCs/>
          <w:color w:val="auto"/>
          <w:sz w:val="30"/>
          <w:szCs w:val="30"/>
        </w:rPr>
        <w:t>21</w:t>
      </w:r>
      <w:r w:rsidR="00036428" w:rsidRPr="00054A26">
        <w:rPr>
          <w:b/>
          <w:bCs/>
          <w:color w:val="auto"/>
          <w:sz w:val="30"/>
          <w:szCs w:val="30"/>
        </w:rPr>
        <w:t>%)</w:t>
      </w:r>
      <w:r w:rsidR="00424111" w:rsidRPr="00054A26">
        <w:rPr>
          <w:b/>
          <w:bCs/>
          <w:color w:val="auto"/>
          <w:sz w:val="30"/>
          <w:szCs w:val="30"/>
        </w:rPr>
        <w:t xml:space="preserve"> E</w:t>
      </w:r>
      <w:r w:rsidR="007013E8" w:rsidRPr="00054A26">
        <w:rPr>
          <w:b/>
          <w:bCs/>
          <w:color w:val="auto"/>
          <w:sz w:val="30"/>
          <w:szCs w:val="30"/>
        </w:rPr>
        <w:t xml:space="preserve"> </w:t>
      </w:r>
      <w:r w:rsidR="00036428" w:rsidRPr="00054A26">
        <w:rPr>
          <w:b/>
          <w:bCs/>
          <w:color w:val="auto"/>
          <w:sz w:val="30"/>
          <w:szCs w:val="30"/>
        </w:rPr>
        <w:t>MENO</w:t>
      </w:r>
      <w:r w:rsidR="00424111" w:rsidRPr="00054A26">
        <w:rPr>
          <w:b/>
          <w:bCs/>
          <w:color w:val="auto"/>
          <w:sz w:val="30"/>
          <w:szCs w:val="30"/>
        </w:rPr>
        <w:t xml:space="preserve"> DI </w:t>
      </w:r>
      <w:r w:rsidR="00054A26" w:rsidRPr="00054A26">
        <w:rPr>
          <w:b/>
          <w:bCs/>
          <w:color w:val="auto"/>
          <w:sz w:val="30"/>
          <w:szCs w:val="30"/>
        </w:rPr>
        <w:t>385</w:t>
      </w:r>
      <w:r w:rsidR="00424111" w:rsidRPr="00054A26">
        <w:rPr>
          <w:b/>
          <w:bCs/>
          <w:color w:val="auto"/>
          <w:sz w:val="30"/>
          <w:szCs w:val="30"/>
        </w:rPr>
        <w:t xml:space="preserve"> MILA ALTRI FRAGILI </w:t>
      </w:r>
      <w:r w:rsidRPr="00054A26">
        <w:rPr>
          <w:b/>
          <w:bCs/>
          <w:color w:val="auto"/>
          <w:sz w:val="30"/>
          <w:szCs w:val="30"/>
        </w:rPr>
        <w:t>(</w:t>
      </w:r>
      <w:r w:rsidR="00054A26" w:rsidRPr="00054A26">
        <w:rPr>
          <w:b/>
          <w:bCs/>
          <w:color w:val="auto"/>
          <w:sz w:val="30"/>
          <w:szCs w:val="30"/>
        </w:rPr>
        <w:t>8,7</w:t>
      </w:r>
      <w:r w:rsidRPr="00054A26">
        <w:rPr>
          <w:b/>
          <w:bCs/>
          <w:color w:val="auto"/>
          <w:sz w:val="30"/>
          <w:szCs w:val="30"/>
        </w:rPr>
        <w:t>%)</w:t>
      </w:r>
      <w:r w:rsidR="001F2C8A" w:rsidRPr="00054A26">
        <w:rPr>
          <w:b/>
          <w:bCs/>
          <w:color w:val="auto"/>
          <w:sz w:val="30"/>
          <w:szCs w:val="30"/>
        </w:rPr>
        <w:t xml:space="preserve">. </w:t>
      </w:r>
      <w:r w:rsidR="009041E2">
        <w:rPr>
          <w:b/>
          <w:bCs/>
          <w:color w:val="auto"/>
          <w:sz w:val="30"/>
          <w:szCs w:val="30"/>
        </w:rPr>
        <w:t xml:space="preserve">CON ELEVATA CIRCOLAZIONE VIRALE E DECLINO EFFICACIA VACCINALE LA QUARTA DOSE </w:t>
      </w:r>
      <w:r w:rsidR="00FE1A1D">
        <w:rPr>
          <w:b/>
          <w:bCs/>
          <w:color w:val="auto"/>
          <w:sz w:val="30"/>
          <w:szCs w:val="30"/>
        </w:rPr>
        <w:t>DEVE ESSERE EFFETTUATA SUBITO</w:t>
      </w:r>
      <w:r w:rsidR="009041E2">
        <w:rPr>
          <w:b/>
          <w:bCs/>
          <w:color w:val="auto"/>
          <w:sz w:val="30"/>
          <w:szCs w:val="30"/>
        </w:rPr>
        <w:t>.</w:t>
      </w:r>
    </w:p>
    <w:p w:rsidR="00036428" w:rsidRPr="00BA17CB" w:rsidRDefault="00036428" w:rsidP="00036428">
      <w:pPr>
        <w:spacing w:after="200" w:line="276" w:lineRule="auto"/>
        <w:jc w:val="both"/>
        <w:rPr>
          <w:b/>
          <w:bCs/>
          <w:color w:val="FF0000"/>
          <w:sz w:val="24"/>
          <w:szCs w:val="24"/>
        </w:rPr>
      </w:pPr>
      <w:r w:rsidRPr="00054A26">
        <w:rPr>
          <w:b/>
          <w:bCs/>
          <w:color w:val="auto"/>
          <w:sz w:val="24"/>
          <w:szCs w:val="24"/>
        </w:rPr>
        <w:t>IL MONITORAGGIO</w:t>
      </w:r>
      <w:r w:rsidR="005B44F2" w:rsidRPr="00054A26">
        <w:rPr>
          <w:b/>
          <w:bCs/>
          <w:color w:val="auto"/>
          <w:sz w:val="24"/>
          <w:szCs w:val="24"/>
        </w:rPr>
        <w:t xml:space="preserve"> DELLA FONDAZIONE GIMBE RILEVA, </w:t>
      </w:r>
      <w:r w:rsidRPr="00054A26">
        <w:rPr>
          <w:b/>
          <w:bCs/>
          <w:color w:val="auto"/>
          <w:sz w:val="24"/>
          <w:szCs w:val="24"/>
        </w:rPr>
        <w:t xml:space="preserve">NELLA SETTIMANA </w:t>
      </w:r>
      <w:r w:rsidR="00054A26" w:rsidRPr="00054A26">
        <w:rPr>
          <w:b/>
          <w:bCs/>
          <w:color w:val="auto"/>
          <w:sz w:val="24"/>
          <w:szCs w:val="24"/>
        </w:rPr>
        <w:t>4-10</w:t>
      </w:r>
      <w:r w:rsidRPr="00054A26">
        <w:rPr>
          <w:b/>
          <w:bCs/>
          <w:color w:val="auto"/>
          <w:sz w:val="24"/>
          <w:szCs w:val="24"/>
        </w:rPr>
        <w:t xml:space="preserve"> MAGGIO, UNA DIMINUZIONE DEI NUOVI CASI </w:t>
      </w:r>
      <w:r w:rsidR="00054A26" w:rsidRPr="00054A26">
        <w:rPr>
          <w:b/>
          <w:bCs/>
          <w:color w:val="auto"/>
          <w:sz w:val="24"/>
          <w:szCs w:val="24"/>
        </w:rPr>
        <w:t>(286.350)</w:t>
      </w:r>
      <w:r w:rsidR="00054A26">
        <w:rPr>
          <w:b/>
          <w:bCs/>
          <w:color w:val="auto"/>
          <w:sz w:val="24"/>
          <w:szCs w:val="24"/>
        </w:rPr>
        <w:t xml:space="preserve"> </w:t>
      </w:r>
      <w:r w:rsidR="008363A4">
        <w:rPr>
          <w:b/>
          <w:bCs/>
          <w:color w:val="auto"/>
          <w:sz w:val="24"/>
          <w:szCs w:val="24"/>
        </w:rPr>
        <w:t>CHE RIGUARDA</w:t>
      </w:r>
      <w:r w:rsidR="00054A26">
        <w:rPr>
          <w:b/>
          <w:bCs/>
          <w:color w:val="auto"/>
          <w:sz w:val="24"/>
          <w:szCs w:val="24"/>
        </w:rPr>
        <w:t xml:space="preserve"> TUTTE LE PROVINCE: 48 SONO QUELLE </w:t>
      </w:r>
      <w:r w:rsidR="00EA78AE">
        <w:rPr>
          <w:b/>
          <w:bCs/>
          <w:color w:val="auto"/>
          <w:sz w:val="24"/>
          <w:szCs w:val="24"/>
        </w:rPr>
        <w:t xml:space="preserve">CON </w:t>
      </w:r>
      <w:r w:rsidRPr="00054A26">
        <w:rPr>
          <w:b/>
          <w:bCs/>
          <w:color w:val="auto"/>
          <w:sz w:val="24"/>
          <w:szCs w:val="24"/>
        </w:rPr>
        <w:t xml:space="preserve">INCIDENZA </w:t>
      </w:r>
      <w:r w:rsidR="00EA78AE">
        <w:rPr>
          <w:b/>
          <w:bCs/>
          <w:color w:val="auto"/>
          <w:sz w:val="24"/>
          <w:szCs w:val="24"/>
        </w:rPr>
        <w:t>SUPERIORE</w:t>
      </w:r>
      <w:r w:rsidRPr="00054A26">
        <w:rPr>
          <w:b/>
          <w:bCs/>
          <w:color w:val="auto"/>
          <w:sz w:val="24"/>
          <w:szCs w:val="24"/>
        </w:rPr>
        <w:t xml:space="preserve"> </w:t>
      </w:r>
      <w:r w:rsidR="00EA78AE">
        <w:rPr>
          <w:b/>
          <w:bCs/>
          <w:color w:val="auto"/>
          <w:sz w:val="24"/>
          <w:szCs w:val="24"/>
        </w:rPr>
        <w:t xml:space="preserve">A </w:t>
      </w:r>
      <w:r w:rsidR="00054A26" w:rsidRPr="00054A26">
        <w:rPr>
          <w:b/>
          <w:bCs/>
          <w:color w:val="auto"/>
          <w:sz w:val="24"/>
          <w:szCs w:val="24"/>
        </w:rPr>
        <w:t>5</w:t>
      </w:r>
      <w:r w:rsidRPr="00054A26">
        <w:rPr>
          <w:b/>
          <w:bCs/>
          <w:color w:val="auto"/>
          <w:sz w:val="24"/>
          <w:szCs w:val="24"/>
        </w:rPr>
        <w:t xml:space="preserve">00 CASI PER 100.000 ABITANTI. </w:t>
      </w:r>
      <w:r w:rsidRPr="00A2657B">
        <w:rPr>
          <w:b/>
          <w:bCs/>
          <w:color w:val="auto"/>
          <w:sz w:val="24"/>
          <w:szCs w:val="24"/>
        </w:rPr>
        <w:t xml:space="preserve">IN DISCESA </w:t>
      </w:r>
      <w:r w:rsidR="00F27F03" w:rsidRPr="00A2657B">
        <w:rPr>
          <w:b/>
          <w:bCs/>
          <w:color w:val="auto"/>
          <w:sz w:val="24"/>
          <w:szCs w:val="24"/>
        </w:rPr>
        <w:t>GLI</w:t>
      </w:r>
      <w:r w:rsidR="005B44F2" w:rsidRPr="00A2657B">
        <w:rPr>
          <w:b/>
          <w:bCs/>
          <w:color w:val="auto"/>
          <w:sz w:val="24"/>
          <w:szCs w:val="24"/>
        </w:rPr>
        <w:t xml:space="preserve"> </w:t>
      </w:r>
      <w:r w:rsidR="00F27F03" w:rsidRPr="00A2657B">
        <w:rPr>
          <w:b/>
          <w:bCs/>
          <w:color w:val="auto"/>
          <w:sz w:val="24"/>
          <w:szCs w:val="24"/>
        </w:rPr>
        <w:t xml:space="preserve">INDICATORI OSPEDALIERI E </w:t>
      </w:r>
      <w:r w:rsidRPr="00A2657B">
        <w:rPr>
          <w:b/>
          <w:bCs/>
          <w:color w:val="auto"/>
          <w:sz w:val="24"/>
          <w:szCs w:val="24"/>
        </w:rPr>
        <w:t>I DECESSI (</w:t>
      </w:r>
      <w:r w:rsidR="00A2657B" w:rsidRPr="00A2657B">
        <w:rPr>
          <w:b/>
          <w:bCs/>
          <w:color w:val="auto"/>
          <w:sz w:val="24"/>
          <w:szCs w:val="24"/>
        </w:rPr>
        <w:t>84</w:t>
      </w:r>
      <w:r w:rsidR="00EA78AE">
        <w:rPr>
          <w:b/>
          <w:bCs/>
          <w:color w:val="auto"/>
          <w:sz w:val="24"/>
          <w:szCs w:val="24"/>
        </w:rPr>
        <w:t>2)</w:t>
      </w:r>
      <w:r w:rsidR="00A2657B">
        <w:rPr>
          <w:b/>
          <w:bCs/>
          <w:color w:val="auto"/>
          <w:sz w:val="24"/>
          <w:szCs w:val="24"/>
        </w:rPr>
        <w:t>.</w:t>
      </w:r>
      <w:r w:rsidR="00A2657B" w:rsidRPr="00A2657B">
        <w:rPr>
          <w:b/>
          <w:bCs/>
          <w:color w:val="auto"/>
          <w:sz w:val="24"/>
          <w:szCs w:val="24"/>
        </w:rPr>
        <w:t xml:space="preserve"> </w:t>
      </w:r>
      <w:r w:rsidR="00EA78AE">
        <w:rPr>
          <w:b/>
          <w:bCs/>
          <w:color w:val="auto"/>
          <w:sz w:val="24"/>
          <w:szCs w:val="24"/>
        </w:rPr>
        <w:t xml:space="preserve">FERME </w:t>
      </w:r>
      <w:r w:rsidRPr="00A2657B">
        <w:rPr>
          <w:b/>
          <w:bCs/>
          <w:color w:val="auto"/>
          <w:sz w:val="24"/>
          <w:szCs w:val="24"/>
        </w:rPr>
        <w:t xml:space="preserve">LE PERCENTUALI </w:t>
      </w:r>
      <w:r w:rsidR="00F27F03" w:rsidRPr="00A2657B">
        <w:rPr>
          <w:b/>
          <w:bCs/>
          <w:color w:val="auto"/>
          <w:sz w:val="24"/>
          <w:szCs w:val="24"/>
        </w:rPr>
        <w:t>DI</w:t>
      </w:r>
      <w:r w:rsidRPr="00A2657B">
        <w:rPr>
          <w:b/>
          <w:bCs/>
          <w:color w:val="auto"/>
          <w:sz w:val="24"/>
          <w:szCs w:val="24"/>
        </w:rPr>
        <w:t xml:space="preserve"> CHI HA RICEVUTO ALMENO UNA DOSE DI VACCINO (88,1% DELLA PLATEA) E </w:t>
      </w:r>
      <w:r w:rsidR="00F27F03" w:rsidRPr="00A2657B">
        <w:rPr>
          <w:b/>
          <w:bCs/>
          <w:color w:val="auto"/>
          <w:sz w:val="24"/>
          <w:szCs w:val="24"/>
        </w:rPr>
        <w:t>DI</w:t>
      </w:r>
      <w:r w:rsidRPr="00A2657B">
        <w:rPr>
          <w:b/>
          <w:bCs/>
          <w:color w:val="auto"/>
          <w:sz w:val="24"/>
          <w:szCs w:val="24"/>
        </w:rPr>
        <w:t xml:space="preserve"> CHI HA COMPLETATO IL CICLO VACCINALE (86,5%). 6,8</w:t>
      </w:r>
      <w:r w:rsidR="00A2657B" w:rsidRPr="00A2657B">
        <w:rPr>
          <w:b/>
          <w:bCs/>
          <w:color w:val="auto"/>
          <w:sz w:val="24"/>
          <w:szCs w:val="24"/>
        </w:rPr>
        <w:t>8</w:t>
      </w:r>
      <w:r w:rsidRPr="00A2657B">
        <w:rPr>
          <w:b/>
          <w:bCs/>
          <w:color w:val="auto"/>
          <w:sz w:val="24"/>
          <w:szCs w:val="24"/>
        </w:rPr>
        <w:t xml:space="preserve"> MILIONI I NON VACCINATI, DI CUI 2,</w:t>
      </w:r>
      <w:r w:rsidR="00A2657B" w:rsidRPr="00A2657B">
        <w:rPr>
          <w:b/>
          <w:bCs/>
          <w:color w:val="auto"/>
          <w:sz w:val="24"/>
          <w:szCs w:val="24"/>
        </w:rPr>
        <w:t>82</w:t>
      </w:r>
      <w:r w:rsidRPr="00A2657B">
        <w:rPr>
          <w:b/>
          <w:bCs/>
          <w:color w:val="auto"/>
          <w:sz w:val="24"/>
          <w:szCs w:val="24"/>
        </w:rPr>
        <w:t xml:space="preserve"> MILIONI DI GUARITI PROTETTI SOLO TEMPORANEAMENTE. 8,</w:t>
      </w:r>
      <w:r w:rsidR="00A2657B" w:rsidRPr="00A2657B">
        <w:rPr>
          <w:b/>
          <w:bCs/>
          <w:color w:val="auto"/>
          <w:sz w:val="24"/>
          <w:szCs w:val="24"/>
        </w:rPr>
        <w:t>28</w:t>
      </w:r>
      <w:r w:rsidRPr="00A2657B">
        <w:rPr>
          <w:b/>
          <w:bCs/>
          <w:color w:val="auto"/>
          <w:sz w:val="24"/>
          <w:szCs w:val="24"/>
        </w:rPr>
        <w:t xml:space="preserve"> MILIONI LE PERSONE CHE NON HANNO ANCORA R</w:t>
      </w:r>
      <w:r w:rsidR="00A2657B" w:rsidRPr="00A2657B">
        <w:rPr>
          <w:b/>
          <w:bCs/>
          <w:color w:val="auto"/>
          <w:sz w:val="24"/>
          <w:szCs w:val="24"/>
        </w:rPr>
        <w:t>ICEVUTO LA TERZA DOSE</w:t>
      </w:r>
      <w:r w:rsidR="008363A4">
        <w:rPr>
          <w:b/>
          <w:bCs/>
          <w:color w:val="auto"/>
          <w:sz w:val="24"/>
          <w:szCs w:val="24"/>
        </w:rPr>
        <w:t>,</w:t>
      </w:r>
      <w:r w:rsidR="00A2657B" w:rsidRPr="00A2657B">
        <w:rPr>
          <w:b/>
          <w:bCs/>
          <w:color w:val="auto"/>
          <w:sz w:val="24"/>
          <w:szCs w:val="24"/>
        </w:rPr>
        <w:t xml:space="preserve"> DI CUI 5,46</w:t>
      </w:r>
      <w:r w:rsidRPr="00A2657B">
        <w:rPr>
          <w:b/>
          <w:bCs/>
          <w:color w:val="auto"/>
          <w:sz w:val="24"/>
          <w:szCs w:val="24"/>
        </w:rPr>
        <w:t xml:space="preserve"> MILIONI </w:t>
      </w:r>
      <w:r w:rsidR="003F4BBB" w:rsidRPr="00A2657B">
        <w:rPr>
          <w:b/>
          <w:bCs/>
          <w:color w:val="auto"/>
          <w:sz w:val="24"/>
          <w:szCs w:val="24"/>
        </w:rPr>
        <w:t xml:space="preserve">DI </w:t>
      </w:r>
      <w:r w:rsidRPr="00A2657B">
        <w:rPr>
          <w:b/>
          <w:bCs/>
          <w:color w:val="auto"/>
          <w:sz w:val="24"/>
          <w:szCs w:val="24"/>
        </w:rPr>
        <w:t xml:space="preserve">GUARITI CHE NON POSSONO RICEVERLA NELL’IMMEDIATO. NETTE DIFFERENZE REGIONALI </w:t>
      </w:r>
      <w:r w:rsidR="00F27F03" w:rsidRPr="00A2657B">
        <w:rPr>
          <w:b/>
          <w:bCs/>
          <w:color w:val="auto"/>
          <w:sz w:val="24"/>
          <w:szCs w:val="24"/>
        </w:rPr>
        <w:t>PER L</w:t>
      </w:r>
      <w:r w:rsidR="008363A4">
        <w:rPr>
          <w:b/>
          <w:bCs/>
          <w:color w:val="auto"/>
          <w:sz w:val="24"/>
          <w:szCs w:val="24"/>
        </w:rPr>
        <w:t>A COPERTURA CON</w:t>
      </w:r>
      <w:r w:rsidRPr="00A2657B">
        <w:rPr>
          <w:b/>
          <w:bCs/>
          <w:color w:val="auto"/>
          <w:sz w:val="24"/>
          <w:szCs w:val="24"/>
        </w:rPr>
        <w:t xml:space="preserve"> QUARTE DOSI </w:t>
      </w:r>
      <w:r w:rsidR="008363A4">
        <w:rPr>
          <w:b/>
          <w:bCs/>
          <w:color w:val="auto"/>
          <w:sz w:val="24"/>
          <w:szCs w:val="24"/>
        </w:rPr>
        <w:t>D</w:t>
      </w:r>
      <w:r w:rsidRPr="00A2657B">
        <w:rPr>
          <w:b/>
          <w:bCs/>
          <w:color w:val="auto"/>
          <w:sz w:val="24"/>
          <w:szCs w:val="24"/>
        </w:rPr>
        <w:t xml:space="preserve">EGLI IMMUNOCOMPROMESSI (DAL </w:t>
      </w:r>
      <w:r w:rsidR="00A2657B" w:rsidRPr="00A2657B">
        <w:rPr>
          <w:b/>
          <w:bCs/>
          <w:color w:val="auto"/>
          <w:sz w:val="24"/>
          <w:szCs w:val="24"/>
        </w:rPr>
        <w:t>3,8</w:t>
      </w:r>
      <w:r w:rsidRPr="00A2657B">
        <w:rPr>
          <w:b/>
          <w:bCs/>
          <w:color w:val="auto"/>
          <w:sz w:val="24"/>
          <w:szCs w:val="24"/>
        </w:rPr>
        <w:t>%</w:t>
      </w:r>
      <w:r w:rsidR="008363A4">
        <w:rPr>
          <w:b/>
          <w:bCs/>
          <w:color w:val="auto"/>
          <w:sz w:val="24"/>
          <w:szCs w:val="24"/>
        </w:rPr>
        <w:t xml:space="preserve"> </w:t>
      </w:r>
      <w:r w:rsidRPr="00A2657B">
        <w:rPr>
          <w:b/>
          <w:bCs/>
          <w:color w:val="auto"/>
          <w:sz w:val="24"/>
          <w:szCs w:val="24"/>
        </w:rPr>
        <w:t xml:space="preserve">DEL MOLISE AL </w:t>
      </w:r>
      <w:r w:rsidR="00A2657B" w:rsidRPr="00A2657B">
        <w:rPr>
          <w:b/>
          <w:bCs/>
          <w:color w:val="auto"/>
          <w:sz w:val="24"/>
          <w:szCs w:val="24"/>
        </w:rPr>
        <w:t>73,1</w:t>
      </w:r>
      <w:r w:rsidRPr="00A2657B">
        <w:rPr>
          <w:b/>
          <w:bCs/>
          <w:color w:val="auto"/>
          <w:sz w:val="24"/>
          <w:szCs w:val="24"/>
        </w:rPr>
        <w:t xml:space="preserve">% DEL PIEMONTE) E </w:t>
      </w:r>
      <w:r w:rsidR="008363A4">
        <w:rPr>
          <w:b/>
          <w:bCs/>
          <w:color w:val="auto"/>
          <w:sz w:val="24"/>
          <w:szCs w:val="24"/>
        </w:rPr>
        <w:t>DE</w:t>
      </w:r>
      <w:r w:rsidRPr="00A2657B">
        <w:rPr>
          <w:b/>
          <w:bCs/>
          <w:color w:val="auto"/>
          <w:sz w:val="24"/>
          <w:szCs w:val="24"/>
        </w:rPr>
        <w:t>GLI ALTRI FRAGILI (</w:t>
      </w:r>
      <w:r w:rsidR="00A2657B" w:rsidRPr="00A2657B">
        <w:rPr>
          <w:b/>
          <w:bCs/>
          <w:color w:val="auto"/>
          <w:sz w:val="24"/>
          <w:szCs w:val="24"/>
        </w:rPr>
        <w:t>DAL 2,4</w:t>
      </w:r>
      <w:r w:rsidRPr="00A2657B">
        <w:rPr>
          <w:b/>
          <w:bCs/>
          <w:color w:val="auto"/>
          <w:sz w:val="24"/>
          <w:szCs w:val="24"/>
        </w:rPr>
        <w:t xml:space="preserve">% DELLA CALABRIA </w:t>
      </w:r>
      <w:r w:rsidR="00A2657B" w:rsidRPr="00A2657B">
        <w:rPr>
          <w:b/>
          <w:bCs/>
          <w:color w:val="auto"/>
          <w:sz w:val="24"/>
          <w:szCs w:val="24"/>
        </w:rPr>
        <w:t>AL 18% DEL PIEMONTE</w:t>
      </w:r>
      <w:r w:rsidRPr="00A2657B">
        <w:rPr>
          <w:b/>
          <w:bCs/>
          <w:color w:val="auto"/>
          <w:sz w:val="24"/>
          <w:szCs w:val="24"/>
        </w:rPr>
        <w:t>).</w:t>
      </w:r>
      <w:r w:rsidR="00A2657B" w:rsidRPr="00A2657B">
        <w:rPr>
          <w:b/>
          <w:bCs/>
          <w:color w:val="auto"/>
          <w:sz w:val="24"/>
          <w:szCs w:val="24"/>
        </w:rPr>
        <w:t xml:space="preserve"> </w:t>
      </w:r>
      <w:r w:rsidR="00F93621">
        <w:rPr>
          <w:b/>
          <w:bCs/>
          <w:color w:val="auto"/>
          <w:sz w:val="24"/>
          <w:szCs w:val="24"/>
        </w:rPr>
        <w:t xml:space="preserve">CONSIDERATA </w:t>
      </w:r>
      <w:r w:rsidR="00A2657B" w:rsidRPr="00A2657B">
        <w:rPr>
          <w:b/>
          <w:bCs/>
          <w:color w:val="auto"/>
          <w:sz w:val="24"/>
          <w:szCs w:val="24"/>
        </w:rPr>
        <w:t>LA PARTICOLARE FRAGIL</w:t>
      </w:r>
      <w:r w:rsidR="00F93621">
        <w:rPr>
          <w:b/>
          <w:bCs/>
          <w:color w:val="auto"/>
          <w:sz w:val="24"/>
          <w:szCs w:val="24"/>
        </w:rPr>
        <w:t xml:space="preserve">ITÀ DELLA PLATEA A RISCHIO E </w:t>
      </w:r>
      <w:r w:rsidR="00A2657B" w:rsidRPr="00A2657B">
        <w:rPr>
          <w:b/>
          <w:bCs/>
          <w:color w:val="auto"/>
          <w:sz w:val="24"/>
          <w:szCs w:val="24"/>
        </w:rPr>
        <w:t>L</w:t>
      </w:r>
      <w:r w:rsidR="00F93621">
        <w:rPr>
          <w:b/>
          <w:bCs/>
          <w:color w:val="auto"/>
          <w:sz w:val="24"/>
          <w:szCs w:val="24"/>
        </w:rPr>
        <w:t>’</w:t>
      </w:r>
      <w:r w:rsidR="00A2657B" w:rsidRPr="00A2657B">
        <w:rPr>
          <w:b/>
          <w:bCs/>
          <w:color w:val="auto"/>
          <w:sz w:val="24"/>
          <w:szCs w:val="24"/>
        </w:rPr>
        <w:t>ELEVATA CIRCOLAZIONE VIRALE</w:t>
      </w:r>
      <w:r w:rsidR="00F93621">
        <w:rPr>
          <w:b/>
          <w:bCs/>
          <w:color w:val="auto"/>
          <w:sz w:val="24"/>
          <w:szCs w:val="24"/>
        </w:rPr>
        <w:t xml:space="preserve"> </w:t>
      </w:r>
      <w:r w:rsidR="00FE1A1D">
        <w:rPr>
          <w:b/>
          <w:bCs/>
          <w:color w:val="auto"/>
          <w:sz w:val="24"/>
          <w:szCs w:val="24"/>
        </w:rPr>
        <w:t>PERICOLOSO ASPETTARE L’AUTUNNO PER</w:t>
      </w:r>
      <w:r w:rsidR="00A2657B" w:rsidRPr="00A2657B">
        <w:rPr>
          <w:b/>
          <w:bCs/>
          <w:color w:val="auto"/>
          <w:sz w:val="24"/>
          <w:szCs w:val="24"/>
        </w:rPr>
        <w:t xml:space="preserve"> LA QUARTA DOSE.</w:t>
      </w:r>
    </w:p>
    <w:p w:rsidR="002D4262" w:rsidRPr="00853E22" w:rsidRDefault="00BA17CB" w:rsidP="00744BCD">
      <w:pPr>
        <w:spacing w:line="276" w:lineRule="auto"/>
        <w:jc w:val="center"/>
        <w:rPr>
          <w:b/>
          <w:bCs/>
          <w:color w:val="auto"/>
          <w:spacing w:val="-2"/>
          <w:sz w:val="32"/>
          <w:szCs w:val="32"/>
        </w:rPr>
      </w:pPr>
      <w:r>
        <w:rPr>
          <w:rFonts w:cs="Calibri"/>
          <w:b/>
          <w:bCs/>
          <w:color w:val="auto"/>
        </w:rPr>
        <w:t>12</w:t>
      </w:r>
      <w:r w:rsidR="00E53C87">
        <w:rPr>
          <w:rFonts w:cs="Calibri"/>
          <w:b/>
          <w:bCs/>
          <w:color w:val="auto"/>
        </w:rPr>
        <w:t xml:space="preserve"> maggio</w:t>
      </w:r>
      <w:r w:rsidR="002D4262" w:rsidRPr="00853E22">
        <w:rPr>
          <w:rFonts w:cs="Calibri"/>
          <w:b/>
          <w:bCs/>
          <w:color w:val="auto"/>
        </w:rPr>
        <w:t xml:space="preserve"> 2022 - Fondazione GIMBE, Bologna</w:t>
      </w:r>
    </w:p>
    <w:p w:rsidR="00EA1471" w:rsidRPr="00FB5602" w:rsidRDefault="00FB5602" w:rsidP="00061647">
      <w:pPr>
        <w:spacing w:line="276" w:lineRule="auto"/>
        <w:jc w:val="both"/>
        <w:rPr>
          <w:color w:val="auto"/>
        </w:rPr>
      </w:pPr>
      <w:r w:rsidRPr="00FB5602">
        <w:rPr>
          <w:color w:val="auto"/>
        </w:rPr>
        <w:t>Il monitoraggio indipendente della Fondazione GIMBE rileva nella settimana 4-10 maggio 2022, rispetto alla precedente, una diminuzione di nuovi casi (286.350 vs 394.945) (</w:t>
      </w:r>
      <w:r w:rsidRPr="00FB5602">
        <w:rPr>
          <w:color w:val="auto"/>
          <w:highlight w:val="yellow"/>
        </w:rPr>
        <w:t>figura 1</w:t>
      </w:r>
      <w:r w:rsidRPr="00FB5602">
        <w:rPr>
          <w:color w:val="auto"/>
        </w:rPr>
        <w:t>) e dei decessi (842 vs 962) (</w:t>
      </w:r>
      <w:r w:rsidRPr="00FB5602">
        <w:rPr>
          <w:color w:val="auto"/>
          <w:highlight w:val="yellow"/>
        </w:rPr>
        <w:t>figura 2</w:t>
      </w:r>
      <w:r w:rsidRPr="00FB5602">
        <w:rPr>
          <w:color w:val="auto"/>
        </w:rPr>
        <w:t>). In calo anche i casi attualmente positivi (1.082.972 vs 1.199.960), le persone in isolamento domiciliare (1.074.035 vs 1.189.899), i ricoveri con sintomi (8.579 vs 9.695) e le terapie intensive (358 vs 366) (</w:t>
      </w:r>
      <w:r w:rsidRPr="00FB5602">
        <w:rPr>
          <w:color w:val="auto"/>
          <w:highlight w:val="yellow"/>
        </w:rPr>
        <w:t>figura 3</w:t>
      </w:r>
      <w:r w:rsidRPr="00FB5602">
        <w:rPr>
          <w:color w:val="auto"/>
        </w:rPr>
        <w:t>). In dettaglio, rispetto alla settimana precedente, si registrano le seguenti variazioni:</w:t>
      </w:r>
    </w:p>
    <w:p w:rsidR="00FB5602" w:rsidRPr="00FB5602" w:rsidRDefault="00FB5602" w:rsidP="00FB5602">
      <w:pPr>
        <w:pStyle w:val="Paragrafoelenco"/>
        <w:numPr>
          <w:ilvl w:val="0"/>
          <w:numId w:val="3"/>
        </w:numPr>
        <w:spacing w:after="0" w:line="276" w:lineRule="auto"/>
        <w:ind w:left="357" w:hanging="357"/>
        <w:jc w:val="both"/>
        <w:rPr>
          <w:color w:val="auto"/>
        </w:rPr>
      </w:pPr>
      <w:r w:rsidRPr="00FB5602">
        <w:rPr>
          <w:color w:val="auto"/>
        </w:rPr>
        <w:t>Decessi: 842 (-12,5%), di cui 60 riferiti a periodi precedenti</w:t>
      </w:r>
    </w:p>
    <w:p w:rsidR="00FB5602" w:rsidRPr="00FB5602" w:rsidRDefault="00FB5602" w:rsidP="00FB5602">
      <w:pPr>
        <w:pStyle w:val="Paragrafoelenco"/>
        <w:numPr>
          <w:ilvl w:val="0"/>
          <w:numId w:val="3"/>
        </w:numPr>
        <w:spacing w:after="0" w:line="276" w:lineRule="auto"/>
        <w:ind w:left="357" w:hanging="357"/>
        <w:jc w:val="both"/>
        <w:rPr>
          <w:color w:val="auto"/>
        </w:rPr>
      </w:pPr>
      <w:r w:rsidRPr="00FB5602">
        <w:rPr>
          <w:color w:val="auto"/>
        </w:rPr>
        <w:t>Terapia intensiva: -8 (-2,2%)</w:t>
      </w:r>
    </w:p>
    <w:p w:rsidR="00FB5602" w:rsidRPr="00FB5602" w:rsidRDefault="00FB5602" w:rsidP="00FB5602">
      <w:pPr>
        <w:pStyle w:val="Paragrafoelenco"/>
        <w:numPr>
          <w:ilvl w:val="0"/>
          <w:numId w:val="3"/>
        </w:numPr>
        <w:spacing w:after="0" w:line="276" w:lineRule="auto"/>
        <w:ind w:left="357" w:hanging="357"/>
        <w:jc w:val="both"/>
        <w:rPr>
          <w:color w:val="auto"/>
        </w:rPr>
      </w:pPr>
      <w:r w:rsidRPr="00FB5602">
        <w:rPr>
          <w:color w:val="auto"/>
        </w:rPr>
        <w:t>Ricoverati con sintomi: -1.116 (-11,5%)</w:t>
      </w:r>
    </w:p>
    <w:p w:rsidR="00FB5602" w:rsidRPr="00FB5602" w:rsidRDefault="00FB5602" w:rsidP="00FB5602">
      <w:pPr>
        <w:pStyle w:val="Paragrafoelenco"/>
        <w:numPr>
          <w:ilvl w:val="0"/>
          <w:numId w:val="3"/>
        </w:numPr>
        <w:spacing w:after="0" w:line="276" w:lineRule="auto"/>
        <w:ind w:left="357" w:hanging="357"/>
        <w:jc w:val="both"/>
        <w:rPr>
          <w:color w:val="auto"/>
        </w:rPr>
      </w:pPr>
      <w:r w:rsidRPr="00FB5602">
        <w:rPr>
          <w:color w:val="auto"/>
        </w:rPr>
        <w:t>Isolamento domiciliare: -115.864 (-9,7%)</w:t>
      </w:r>
    </w:p>
    <w:p w:rsidR="00FB5602" w:rsidRPr="00FB5602" w:rsidRDefault="00FB5602" w:rsidP="00FB5602">
      <w:pPr>
        <w:pStyle w:val="Paragrafoelenco"/>
        <w:numPr>
          <w:ilvl w:val="0"/>
          <w:numId w:val="3"/>
        </w:numPr>
        <w:spacing w:after="0" w:line="276" w:lineRule="auto"/>
        <w:ind w:left="357" w:hanging="357"/>
        <w:jc w:val="both"/>
        <w:rPr>
          <w:color w:val="auto"/>
        </w:rPr>
      </w:pPr>
      <w:r w:rsidRPr="00FB5602">
        <w:rPr>
          <w:color w:val="auto"/>
        </w:rPr>
        <w:t>Nuovi casi: 286.350 (-27,5%)</w:t>
      </w:r>
    </w:p>
    <w:p w:rsidR="00FB5602" w:rsidRPr="00FB5602" w:rsidRDefault="00FB5602" w:rsidP="00FB5602">
      <w:pPr>
        <w:pStyle w:val="Paragrafoelenco"/>
        <w:numPr>
          <w:ilvl w:val="0"/>
          <w:numId w:val="3"/>
        </w:numPr>
        <w:spacing w:line="276" w:lineRule="auto"/>
        <w:jc w:val="both"/>
        <w:rPr>
          <w:color w:val="auto"/>
        </w:rPr>
      </w:pPr>
      <w:r w:rsidRPr="00FB5602">
        <w:rPr>
          <w:color w:val="auto"/>
        </w:rPr>
        <w:t>Casi attualmente positivi: -116.988 (-9,7%)</w:t>
      </w:r>
    </w:p>
    <w:p w:rsidR="005D5E08" w:rsidRPr="00BA17CB" w:rsidRDefault="00FA4320" w:rsidP="00FB5602">
      <w:pPr>
        <w:spacing w:line="276" w:lineRule="auto"/>
        <w:jc w:val="both"/>
        <w:rPr>
          <w:color w:val="FF0000"/>
        </w:rPr>
      </w:pPr>
      <w:r w:rsidRPr="00FB5602">
        <w:rPr>
          <w:b/>
          <w:color w:val="auto"/>
        </w:rPr>
        <w:t xml:space="preserve">Nuovi casi. </w:t>
      </w:r>
      <w:r w:rsidRPr="00FB5602">
        <w:rPr>
          <w:color w:val="auto"/>
        </w:rPr>
        <w:t>«</w:t>
      </w:r>
      <w:r w:rsidR="00FB5602" w:rsidRPr="00FB5602">
        <w:rPr>
          <w:color w:val="auto"/>
        </w:rPr>
        <w:t xml:space="preserve">Prosegue la discesa del numero di </w:t>
      </w:r>
      <w:r w:rsidR="005200F6" w:rsidRPr="00FB5602">
        <w:rPr>
          <w:color w:val="auto"/>
        </w:rPr>
        <w:t>nuovi casi settimanali</w:t>
      </w:r>
      <w:r w:rsidR="00A16713" w:rsidRPr="00FB5602">
        <w:rPr>
          <w:color w:val="auto"/>
        </w:rPr>
        <w:t xml:space="preserve"> </w:t>
      </w:r>
      <w:r w:rsidR="00B84259" w:rsidRPr="00FB5602">
        <w:rPr>
          <w:color w:val="auto"/>
        </w:rPr>
        <w:t>(</w:t>
      </w:r>
      <w:r w:rsidR="00FB5602" w:rsidRPr="00FB5602">
        <w:rPr>
          <w:color w:val="auto"/>
        </w:rPr>
        <w:t>-27,5</w:t>
      </w:r>
      <w:r w:rsidR="00774A36" w:rsidRPr="00FB5602">
        <w:rPr>
          <w:color w:val="auto"/>
        </w:rPr>
        <w:t>%</w:t>
      </w:r>
      <w:r w:rsidR="00B84259" w:rsidRPr="00FB5602">
        <w:rPr>
          <w:color w:val="auto"/>
        </w:rPr>
        <w:t>)</w:t>
      </w:r>
      <w:r w:rsidR="00D67E77">
        <w:rPr>
          <w:color w:val="auto"/>
        </w:rPr>
        <w:t xml:space="preserve"> </w:t>
      </w:r>
      <w:r w:rsidR="00D67E77" w:rsidRPr="00FB5602">
        <w:rPr>
          <w:color w:val="auto"/>
        </w:rPr>
        <w:t>– dichiara Nino Cartabellotta, Presidente della Fondazione GIMBE –</w:t>
      </w:r>
      <w:r w:rsidR="00B84259" w:rsidRPr="00FB5602">
        <w:rPr>
          <w:color w:val="auto"/>
        </w:rPr>
        <w:t xml:space="preserve"> </w:t>
      </w:r>
      <w:r w:rsidR="00881A83" w:rsidRPr="00FB5602">
        <w:rPr>
          <w:color w:val="auto"/>
        </w:rPr>
        <w:t xml:space="preserve">che </w:t>
      </w:r>
      <w:r w:rsidR="00C6227B" w:rsidRPr="00FB5602">
        <w:rPr>
          <w:color w:val="auto"/>
        </w:rPr>
        <w:t xml:space="preserve">si attestano </w:t>
      </w:r>
      <w:r w:rsidRPr="00FB5602">
        <w:rPr>
          <w:color w:val="auto"/>
        </w:rPr>
        <w:t xml:space="preserve">a </w:t>
      </w:r>
      <w:r w:rsidR="00DB70BE" w:rsidRPr="00FB5602">
        <w:rPr>
          <w:color w:val="auto"/>
        </w:rPr>
        <w:t xml:space="preserve">quota </w:t>
      </w:r>
      <w:r w:rsidR="00FB5602" w:rsidRPr="00FB5602">
        <w:rPr>
          <w:color w:val="auto"/>
        </w:rPr>
        <w:t>286</w:t>
      </w:r>
      <w:r w:rsidR="00B92911" w:rsidRPr="00FB5602">
        <w:rPr>
          <w:color w:val="auto"/>
        </w:rPr>
        <w:t xml:space="preserve"> mila</w:t>
      </w:r>
      <w:r w:rsidR="00881A83" w:rsidRPr="00FB5602">
        <w:rPr>
          <w:color w:val="auto"/>
        </w:rPr>
        <w:t xml:space="preserve"> </w:t>
      </w:r>
      <w:r w:rsidR="004D0641" w:rsidRPr="00FB5602">
        <w:rPr>
          <w:color w:val="auto"/>
        </w:rPr>
        <w:t>con</w:t>
      </w:r>
      <w:r w:rsidRPr="00FB5602">
        <w:rPr>
          <w:color w:val="auto"/>
        </w:rPr>
        <w:t xml:space="preserve"> una media mobile a 7 giorni </w:t>
      </w:r>
      <w:r w:rsidR="00D67E77">
        <w:rPr>
          <w:color w:val="auto"/>
        </w:rPr>
        <w:t>che sfiora i</w:t>
      </w:r>
      <w:r w:rsidR="00FB5602" w:rsidRPr="00FB5602">
        <w:rPr>
          <w:color w:val="auto"/>
        </w:rPr>
        <w:t xml:space="preserve"> 41</w:t>
      </w:r>
      <w:r w:rsidR="00C15EB5" w:rsidRPr="00FB5602">
        <w:rPr>
          <w:color w:val="auto"/>
        </w:rPr>
        <w:t xml:space="preserve"> </w:t>
      </w:r>
      <w:r w:rsidR="008E50A0" w:rsidRPr="00FB5602">
        <w:rPr>
          <w:color w:val="auto"/>
        </w:rPr>
        <w:t>mila</w:t>
      </w:r>
      <w:r w:rsidR="00C13A5D" w:rsidRPr="00FB5602">
        <w:rPr>
          <w:color w:val="auto"/>
        </w:rPr>
        <w:t xml:space="preserve"> casi</w:t>
      </w:r>
      <w:r w:rsidR="00C15EB5" w:rsidRPr="00FB5602">
        <w:rPr>
          <w:color w:val="auto"/>
        </w:rPr>
        <w:t xml:space="preserve"> giornalieri, a fronte </w:t>
      </w:r>
      <w:r w:rsidR="00D67E77">
        <w:rPr>
          <w:color w:val="auto"/>
        </w:rPr>
        <w:t>tuttavia</w:t>
      </w:r>
      <w:r w:rsidR="00D67E77" w:rsidRPr="00FB5602">
        <w:rPr>
          <w:color w:val="auto"/>
        </w:rPr>
        <w:t xml:space="preserve"> </w:t>
      </w:r>
      <w:r w:rsidR="00FB5602" w:rsidRPr="00FB5602">
        <w:rPr>
          <w:color w:val="auto"/>
        </w:rPr>
        <w:t xml:space="preserve">di un calo del 23,6% </w:t>
      </w:r>
      <w:r w:rsidR="0007555B" w:rsidRPr="00FB5602">
        <w:rPr>
          <w:color w:val="auto"/>
        </w:rPr>
        <w:t>d</w:t>
      </w:r>
      <w:r w:rsidR="00FB5602" w:rsidRPr="00FB5602">
        <w:rPr>
          <w:color w:val="auto"/>
        </w:rPr>
        <w:t>e</w:t>
      </w:r>
      <w:r w:rsidR="0007555B" w:rsidRPr="00FB5602">
        <w:rPr>
          <w:color w:val="auto"/>
        </w:rPr>
        <w:t>i tamponi totali</w:t>
      </w:r>
      <w:r w:rsidRPr="00FB5602">
        <w:rPr>
          <w:color w:val="auto"/>
        </w:rPr>
        <w:t>»</w:t>
      </w:r>
      <w:r w:rsidR="003D7565" w:rsidRPr="00FB5602">
        <w:rPr>
          <w:color w:val="auto"/>
        </w:rPr>
        <w:t xml:space="preserve"> </w:t>
      </w:r>
      <w:r w:rsidRPr="00FB5602">
        <w:rPr>
          <w:color w:val="auto"/>
        </w:rPr>
        <w:t>(</w:t>
      </w:r>
      <w:r w:rsidRPr="00FB5602">
        <w:rPr>
          <w:color w:val="auto"/>
          <w:highlight w:val="yellow"/>
        </w:rPr>
        <w:t>figura 4</w:t>
      </w:r>
      <w:r w:rsidRPr="00FB5602">
        <w:rPr>
          <w:color w:val="auto"/>
        </w:rPr>
        <w:t>).</w:t>
      </w:r>
      <w:r w:rsidR="00557ACD" w:rsidRPr="00FB5602">
        <w:rPr>
          <w:color w:val="auto"/>
        </w:rPr>
        <w:t xml:space="preserve"> N</w:t>
      </w:r>
      <w:r w:rsidR="00AC37CB" w:rsidRPr="00FB5602">
        <w:rPr>
          <w:color w:val="auto"/>
        </w:rPr>
        <w:t xml:space="preserve">ella </w:t>
      </w:r>
      <w:r w:rsidR="008568BE" w:rsidRPr="00FB5602">
        <w:rPr>
          <w:color w:val="auto"/>
        </w:rPr>
        <w:t xml:space="preserve">settimana </w:t>
      </w:r>
      <w:r w:rsidR="00FB5602" w:rsidRPr="00FB5602">
        <w:rPr>
          <w:color w:val="auto"/>
        </w:rPr>
        <w:t>4-10</w:t>
      </w:r>
      <w:r w:rsidR="00C15EB5" w:rsidRPr="00FB5602">
        <w:rPr>
          <w:color w:val="auto"/>
        </w:rPr>
        <w:t xml:space="preserve"> maggio </w:t>
      </w:r>
      <w:r w:rsidR="005F1AA6" w:rsidRPr="00FB5602">
        <w:rPr>
          <w:color w:val="auto"/>
        </w:rPr>
        <w:t xml:space="preserve">in </w:t>
      </w:r>
      <w:r w:rsidR="00FB5602" w:rsidRPr="00FB5602">
        <w:rPr>
          <w:color w:val="auto"/>
        </w:rPr>
        <w:t xml:space="preserve">tutte le </w:t>
      </w:r>
      <w:r w:rsidR="005F1AA6" w:rsidRPr="00FB5602">
        <w:rPr>
          <w:color w:val="auto"/>
        </w:rPr>
        <w:t>Regioni</w:t>
      </w:r>
      <w:r w:rsidR="003E4620" w:rsidRPr="00FB5602">
        <w:rPr>
          <w:color w:val="auto"/>
        </w:rPr>
        <w:t xml:space="preserve"> si </w:t>
      </w:r>
      <w:r w:rsidR="00811762" w:rsidRPr="00FB5602">
        <w:rPr>
          <w:color w:val="auto"/>
        </w:rPr>
        <w:t xml:space="preserve">rileva </w:t>
      </w:r>
      <w:r w:rsidR="005F1AA6" w:rsidRPr="00FB5602">
        <w:rPr>
          <w:color w:val="auto"/>
        </w:rPr>
        <w:t>un</w:t>
      </w:r>
      <w:r w:rsidR="00D16AD8" w:rsidRPr="00FB5602">
        <w:rPr>
          <w:color w:val="auto"/>
        </w:rPr>
        <w:t>a riduzione</w:t>
      </w:r>
      <w:r w:rsidR="005F1AA6" w:rsidRPr="00FB5602">
        <w:rPr>
          <w:color w:val="auto"/>
        </w:rPr>
        <w:t xml:space="preserve"> </w:t>
      </w:r>
      <w:r w:rsidR="008568BE" w:rsidRPr="00FB5602">
        <w:rPr>
          <w:color w:val="auto"/>
        </w:rPr>
        <w:t>p</w:t>
      </w:r>
      <w:r w:rsidR="00ED6992" w:rsidRPr="00FB5602">
        <w:rPr>
          <w:color w:val="auto"/>
        </w:rPr>
        <w:t>ercentuale dei nuovi casi</w:t>
      </w:r>
      <w:r w:rsidR="00FB5602" w:rsidRPr="00FB5602">
        <w:rPr>
          <w:color w:val="auto"/>
        </w:rPr>
        <w:t xml:space="preserve">: </w:t>
      </w:r>
      <w:r w:rsidR="00C6227B" w:rsidRPr="00FB5602">
        <w:rPr>
          <w:color w:val="auto"/>
        </w:rPr>
        <w:t xml:space="preserve">dal </w:t>
      </w:r>
      <w:r w:rsidR="00C15EB5" w:rsidRPr="00FB5602">
        <w:rPr>
          <w:color w:val="auto"/>
        </w:rPr>
        <w:t>-</w:t>
      </w:r>
      <w:r w:rsidR="00FB5602" w:rsidRPr="00FB5602">
        <w:rPr>
          <w:color w:val="auto"/>
        </w:rPr>
        <w:t xml:space="preserve">18,6% </w:t>
      </w:r>
      <w:r w:rsidR="00A2742D">
        <w:rPr>
          <w:color w:val="auto"/>
        </w:rPr>
        <w:t xml:space="preserve">dell’Emilia-Romagna e </w:t>
      </w:r>
      <w:r w:rsidR="00FB5602" w:rsidRPr="00FB5602">
        <w:rPr>
          <w:color w:val="auto"/>
        </w:rPr>
        <w:t xml:space="preserve">della Provincia Autonoma di Bolzano </w:t>
      </w:r>
      <w:r w:rsidR="00C15EB5" w:rsidRPr="00FB5602">
        <w:rPr>
          <w:color w:val="auto"/>
        </w:rPr>
        <w:t>al -</w:t>
      </w:r>
      <w:r w:rsidR="00FB5602" w:rsidRPr="00FB5602">
        <w:rPr>
          <w:color w:val="auto"/>
        </w:rPr>
        <w:t>32,9</w:t>
      </w:r>
      <w:r w:rsidR="00C15EB5" w:rsidRPr="00FB5602">
        <w:rPr>
          <w:color w:val="auto"/>
        </w:rPr>
        <w:t>% del</w:t>
      </w:r>
      <w:r w:rsidR="00FB5602" w:rsidRPr="00FB5602">
        <w:rPr>
          <w:color w:val="auto"/>
        </w:rPr>
        <w:t xml:space="preserve">la Puglia </w:t>
      </w:r>
      <w:r w:rsidR="008568BE" w:rsidRPr="00FB5602">
        <w:rPr>
          <w:color w:val="auto"/>
        </w:rPr>
        <w:lastRenderedPageBreak/>
        <w:t>(</w:t>
      </w:r>
      <w:r w:rsidR="008568BE" w:rsidRPr="00FB5602">
        <w:rPr>
          <w:color w:val="auto"/>
          <w:highlight w:val="yellow"/>
        </w:rPr>
        <w:t>tabella 1</w:t>
      </w:r>
      <w:r w:rsidR="008568BE" w:rsidRPr="00FB5602">
        <w:rPr>
          <w:color w:val="auto"/>
        </w:rPr>
        <w:t>).</w:t>
      </w:r>
      <w:r w:rsidR="00D74F90" w:rsidRPr="00FB5602">
        <w:rPr>
          <w:color w:val="auto"/>
        </w:rPr>
        <w:t xml:space="preserve"> </w:t>
      </w:r>
      <w:r w:rsidR="001647A3" w:rsidRPr="00FB5602">
        <w:rPr>
          <w:color w:val="auto"/>
        </w:rPr>
        <w:t xml:space="preserve">Rispetto alla settimana precedente, </w:t>
      </w:r>
      <w:r w:rsidR="00D1612B" w:rsidRPr="00FB5602">
        <w:rPr>
          <w:color w:val="auto"/>
        </w:rPr>
        <w:t>in</w:t>
      </w:r>
      <w:r w:rsidR="00553106" w:rsidRPr="00FB5602">
        <w:rPr>
          <w:color w:val="auto"/>
        </w:rPr>
        <w:t xml:space="preserve"> </w:t>
      </w:r>
      <w:r w:rsidR="00FB5602" w:rsidRPr="00FB5602">
        <w:rPr>
          <w:color w:val="auto"/>
        </w:rPr>
        <w:t xml:space="preserve">tutte le </w:t>
      </w:r>
      <w:r w:rsidR="001647A3" w:rsidRPr="00FB5602">
        <w:rPr>
          <w:color w:val="auto"/>
        </w:rPr>
        <w:t xml:space="preserve">Province </w:t>
      </w:r>
      <w:r w:rsidR="00FB5602" w:rsidRPr="00FB5602">
        <w:rPr>
          <w:color w:val="auto"/>
        </w:rPr>
        <w:t xml:space="preserve">si rileva una riduzione </w:t>
      </w:r>
      <w:r w:rsidR="00D1612B" w:rsidRPr="00FB5602">
        <w:rPr>
          <w:color w:val="auto"/>
        </w:rPr>
        <w:t xml:space="preserve">percentuale dei </w:t>
      </w:r>
      <w:r w:rsidR="001647A3" w:rsidRPr="00FB5602">
        <w:rPr>
          <w:color w:val="auto"/>
        </w:rPr>
        <w:t>nuovi casi</w:t>
      </w:r>
      <w:r w:rsidR="00FB5602" w:rsidRPr="00FB5602">
        <w:rPr>
          <w:color w:val="auto"/>
        </w:rPr>
        <w:t xml:space="preserve"> (dal -4,8% di Verbano-Cusio-Ossola a -41,1% di Mantova)</w:t>
      </w:r>
      <w:r w:rsidR="00D1612B" w:rsidRPr="00FB5602">
        <w:rPr>
          <w:color w:val="auto"/>
        </w:rPr>
        <w:t xml:space="preserve">. </w:t>
      </w:r>
      <w:r w:rsidR="00EC02BE" w:rsidRPr="00FB5602">
        <w:rPr>
          <w:color w:val="auto"/>
        </w:rPr>
        <w:t>L’incidenza supera i 500 casi per 100.000 abitanti in</w:t>
      </w:r>
      <w:r w:rsidR="00774A36" w:rsidRPr="00FB5602">
        <w:rPr>
          <w:color w:val="auto"/>
        </w:rPr>
        <w:t xml:space="preserve"> </w:t>
      </w:r>
      <w:r w:rsidR="00FB5602" w:rsidRPr="00FB5602">
        <w:rPr>
          <w:color w:val="auto"/>
        </w:rPr>
        <w:t>48</w:t>
      </w:r>
      <w:r w:rsidR="00EC02BE" w:rsidRPr="00FB5602">
        <w:rPr>
          <w:color w:val="auto"/>
        </w:rPr>
        <w:t xml:space="preserve"> </w:t>
      </w:r>
      <w:r w:rsidR="005F1AA6" w:rsidRPr="00FB5602">
        <w:rPr>
          <w:color w:val="auto"/>
        </w:rPr>
        <w:t>Province</w:t>
      </w:r>
      <w:r w:rsidR="00FB5602" w:rsidRPr="00FB5602">
        <w:rPr>
          <w:color w:val="auto"/>
        </w:rPr>
        <w:t>: Chieti (897), Ascoli Piceno (818), Pescara (783), Teramo (768), Avellino (726), Catanzaro (700), Benevento (698), Crotone (674), Isernia (669), Salerno (669), Sud Sardegna (660), Campobasso (656), Fermo (626), Vicenza (625), Padova (623), Cagliari (620), Oristano (619), Caserta (610), Perugia (610), Macerata (607), L'Aquila (605), Potenza (603), Bari (599), Taranto (597), La Spezia (596), Treviso (575), Ravenna (572), Rovigo (569), Terni (562), Matera (561), Siracusa (553), Ancona (550), Venezia (548), Modena (548), Brindisi (544), Frosinone (539), Reggio nell'Emilia (538), Latina (538), Rieti (533), Cosenza (527), Verona (525), Ragusa (523), Siena (520), Bologna (520), Parma (515), Messina (511), Caltanissetta (507) e Verbano-Cusio-Ossola (502)</w:t>
      </w:r>
      <w:r w:rsidR="005D5E08" w:rsidRPr="00FB5602">
        <w:rPr>
          <w:color w:val="auto"/>
        </w:rPr>
        <w:t xml:space="preserve"> </w:t>
      </w:r>
      <w:r w:rsidR="00C13A5D" w:rsidRPr="00FB5602">
        <w:rPr>
          <w:color w:val="auto"/>
        </w:rPr>
        <w:t>(</w:t>
      </w:r>
      <w:r w:rsidR="00C13A5D" w:rsidRPr="00FB5602">
        <w:rPr>
          <w:color w:val="auto"/>
          <w:highlight w:val="yellow"/>
        </w:rPr>
        <w:t>tabella 2</w:t>
      </w:r>
      <w:r w:rsidR="00C13A5D" w:rsidRPr="00FB5602">
        <w:rPr>
          <w:color w:val="auto"/>
        </w:rPr>
        <w:t>).</w:t>
      </w:r>
    </w:p>
    <w:p w:rsidR="00843B66" w:rsidRDefault="00843B66" w:rsidP="00EC3BF8">
      <w:pPr>
        <w:spacing w:line="276" w:lineRule="auto"/>
        <w:jc w:val="both"/>
      </w:pPr>
      <w:r w:rsidRPr="000971D5">
        <w:rPr>
          <w:b/>
        </w:rPr>
        <w:t>Nuove varianti.</w:t>
      </w:r>
      <w:r>
        <w:t xml:space="preserve"> In attesa di conoscere i risultati della </w:t>
      </w:r>
      <w:hyperlink r:id="rId8" w:history="1">
        <w:r w:rsidRPr="00F61BC4">
          <w:rPr>
            <w:rStyle w:val="Collegamentoipertestuale"/>
          </w:rPr>
          <w:t>nuova flash survey</w:t>
        </w:r>
      </w:hyperlink>
      <w:r>
        <w:t xml:space="preserve"> dell’Istituto Superiore di Sanità sui campioni notificati il 3 maggio 2022, gli ultimi dati documentano che in Italia la </w:t>
      </w:r>
      <w:r w:rsidR="00D67E77">
        <w:t>sotto</w:t>
      </w:r>
      <w:r>
        <w:t xml:space="preserve">-variante Omicron BA.2 </w:t>
      </w:r>
      <w:r w:rsidR="00F9519D">
        <w:t xml:space="preserve">(cd. Omicron 2) </w:t>
      </w:r>
      <w:r>
        <w:t>ha quasi completamente soppiantato la BA.1</w:t>
      </w:r>
      <w:r w:rsidR="00F9519D">
        <w:t xml:space="preserve"> (cd. Omicron)</w:t>
      </w:r>
      <w:r>
        <w:t>, mentre vengono già segnalati i primi casi di BA.4. Allo stato attuale delle conoscenze (</w:t>
      </w:r>
      <w:r w:rsidRPr="009A72B7">
        <w:rPr>
          <w:highlight w:val="yellow"/>
        </w:rPr>
        <w:t>tabella</w:t>
      </w:r>
      <w:r>
        <w:t xml:space="preserve">) le nuove </w:t>
      </w:r>
      <w:r w:rsidR="00EC3BF8">
        <w:t>sotto-</w:t>
      </w:r>
      <w:r>
        <w:t>varianti di Omicron sembrano avere una maggior trasmissibilità rispetto a BA.2 e, soprattutto, una maggior capacità di evadere la protezione immunitaria, sia da vaccino, sia da pregressa infezione: questo determina una probabilità</w:t>
      </w:r>
      <w:r w:rsidR="00EC3BF8">
        <w:t xml:space="preserve"> più elevata</w:t>
      </w:r>
      <w:r>
        <w:t xml:space="preserve"> di reinfezione, oltre </w:t>
      </w:r>
      <w:r w:rsidR="00EC3BF8">
        <w:t>ad una</w:t>
      </w:r>
      <w:r>
        <w:t xml:space="preserve"> maggiore resistenza di queste varianti agli anticorpi monoclonali. Per quanto riguarda l’efficacia vaccinale sull’ospedalizzazione, se per queste nuove </w:t>
      </w:r>
      <w:r w:rsidR="00D67E77">
        <w:t>sotto-</w:t>
      </w:r>
      <w:r>
        <w:t>varianti non sono ancor</w:t>
      </w:r>
      <w:r w:rsidR="00EC3BF8">
        <w:t>a</w:t>
      </w:r>
      <w:r>
        <w:t xml:space="preserve"> disponibili dati, </w:t>
      </w:r>
      <w:r w:rsidR="00D67E77">
        <w:t>la somministrazione della</w:t>
      </w:r>
      <w:r>
        <w:t xml:space="preserve"> dose </w:t>
      </w:r>
      <w:r w:rsidRPr="001D69CE">
        <w:rPr>
          <w:i/>
        </w:rPr>
        <w:t>booster</w:t>
      </w:r>
      <w:r>
        <w:t xml:space="preserve"> </w:t>
      </w:r>
      <w:r w:rsidR="00D67E77">
        <w:t xml:space="preserve">resta di cruciale importanza </w:t>
      </w:r>
      <w:r>
        <w:t>al fine di mantenere una copertura adeguata</w:t>
      </w:r>
      <w:r w:rsidDel="00AA5A50">
        <w:t xml:space="preserve"> </w:t>
      </w:r>
      <w:r>
        <w:t xml:space="preserve">contro </w:t>
      </w:r>
      <w:r w:rsidR="004D0F04">
        <w:t>Omicron e Omicron 2</w:t>
      </w:r>
      <w:r>
        <w:t>.</w:t>
      </w:r>
    </w:p>
    <w:tbl>
      <w:tblPr>
        <w:tblStyle w:val="Grigliatabella"/>
        <w:tblW w:w="4822" w:type="pct"/>
        <w:tblInd w:w="250" w:type="dxa"/>
        <w:tblBorders>
          <w:top w:val="single" w:sz="4" w:space="0" w:color="00457D"/>
          <w:left w:val="single" w:sz="4" w:space="0" w:color="00457D"/>
          <w:bottom w:val="single" w:sz="4" w:space="0" w:color="00457D"/>
          <w:right w:val="single" w:sz="4" w:space="0" w:color="00457D"/>
          <w:insideH w:val="single" w:sz="4" w:space="0" w:color="00457D"/>
          <w:insideV w:val="single" w:sz="4" w:space="0" w:color="00457D"/>
        </w:tblBorders>
        <w:tblLayout w:type="fixed"/>
        <w:tblLook w:val="04A0" w:firstRow="1" w:lastRow="0" w:firstColumn="1" w:lastColumn="0" w:noHBand="0" w:noVBand="1"/>
      </w:tblPr>
      <w:tblGrid>
        <w:gridCol w:w="2693"/>
        <w:gridCol w:w="1666"/>
        <w:gridCol w:w="1666"/>
        <w:gridCol w:w="1630"/>
        <w:gridCol w:w="36"/>
        <w:gridCol w:w="1806"/>
      </w:tblGrid>
      <w:tr w:rsidR="001E509A" w:rsidRPr="001E509A" w:rsidTr="001E509A">
        <w:trPr>
          <w:trHeight w:val="454"/>
        </w:trPr>
        <w:tc>
          <w:tcPr>
            <w:tcW w:w="1418" w:type="pct"/>
            <w:tcBorders>
              <w:right w:val="single" w:sz="4" w:space="0" w:color="FFFFFF" w:themeColor="background1"/>
            </w:tcBorders>
            <w:shd w:val="clear" w:color="auto" w:fill="00457D"/>
            <w:vAlign w:val="center"/>
          </w:tcPr>
          <w:p w:rsidR="00843B66" w:rsidRPr="001E509A" w:rsidRDefault="00843B66" w:rsidP="001E509A">
            <w:pPr>
              <w:spacing w:after="0"/>
              <w:rPr>
                <w:b/>
                <w:color w:val="FFFFFF" w:themeColor="background1"/>
                <w:sz w:val="19"/>
                <w:szCs w:val="19"/>
              </w:rPr>
            </w:pPr>
            <w:r w:rsidRPr="001E509A">
              <w:rPr>
                <w:b/>
                <w:color w:val="FFFFFF" w:themeColor="background1"/>
                <w:sz w:val="19"/>
                <w:szCs w:val="19"/>
              </w:rPr>
              <w:t>Caratteristica</w:t>
            </w:r>
          </w:p>
        </w:tc>
        <w:tc>
          <w:tcPr>
            <w:tcW w:w="877" w:type="pct"/>
            <w:tcBorders>
              <w:left w:val="single" w:sz="4" w:space="0" w:color="FFFFFF" w:themeColor="background1"/>
              <w:right w:val="single" w:sz="4" w:space="0" w:color="FFFFFF" w:themeColor="background1"/>
            </w:tcBorders>
            <w:shd w:val="clear" w:color="auto" w:fill="00457D"/>
            <w:vAlign w:val="center"/>
          </w:tcPr>
          <w:p w:rsidR="00843B66" w:rsidRPr="001E509A" w:rsidRDefault="00843B66" w:rsidP="001E509A">
            <w:pPr>
              <w:spacing w:after="0"/>
              <w:jc w:val="center"/>
              <w:rPr>
                <w:b/>
                <w:color w:val="FFFFFF" w:themeColor="background1"/>
                <w:sz w:val="19"/>
                <w:szCs w:val="19"/>
              </w:rPr>
            </w:pPr>
            <w:r w:rsidRPr="001E509A">
              <w:rPr>
                <w:b/>
                <w:color w:val="FFFFFF" w:themeColor="background1"/>
                <w:sz w:val="19"/>
                <w:szCs w:val="19"/>
              </w:rPr>
              <w:t>BA.1</w:t>
            </w:r>
          </w:p>
        </w:tc>
        <w:tc>
          <w:tcPr>
            <w:tcW w:w="877" w:type="pct"/>
            <w:tcBorders>
              <w:left w:val="single" w:sz="4" w:space="0" w:color="FFFFFF" w:themeColor="background1"/>
              <w:right w:val="single" w:sz="4" w:space="0" w:color="FFFFFF" w:themeColor="background1"/>
            </w:tcBorders>
            <w:shd w:val="clear" w:color="auto" w:fill="00457D"/>
            <w:vAlign w:val="center"/>
          </w:tcPr>
          <w:p w:rsidR="00843B66" w:rsidRPr="001E509A" w:rsidRDefault="00843B66" w:rsidP="001E509A">
            <w:pPr>
              <w:spacing w:after="0"/>
              <w:jc w:val="center"/>
              <w:rPr>
                <w:b/>
                <w:color w:val="FFFFFF" w:themeColor="background1"/>
                <w:sz w:val="19"/>
                <w:szCs w:val="19"/>
              </w:rPr>
            </w:pPr>
            <w:r w:rsidRPr="001E509A">
              <w:rPr>
                <w:b/>
                <w:color w:val="FFFFFF" w:themeColor="background1"/>
                <w:sz w:val="19"/>
                <w:szCs w:val="19"/>
              </w:rPr>
              <w:t>BA.2</w:t>
            </w:r>
          </w:p>
        </w:tc>
        <w:tc>
          <w:tcPr>
            <w:tcW w:w="877" w:type="pct"/>
            <w:gridSpan w:val="2"/>
            <w:tcBorders>
              <w:left w:val="single" w:sz="4" w:space="0" w:color="FFFFFF" w:themeColor="background1"/>
              <w:right w:val="single" w:sz="4" w:space="0" w:color="FFFFFF" w:themeColor="background1"/>
            </w:tcBorders>
            <w:shd w:val="clear" w:color="auto" w:fill="00457D"/>
            <w:vAlign w:val="center"/>
          </w:tcPr>
          <w:p w:rsidR="00843B66" w:rsidRPr="001E509A" w:rsidRDefault="00843B66" w:rsidP="001E509A">
            <w:pPr>
              <w:spacing w:after="0"/>
              <w:jc w:val="center"/>
              <w:rPr>
                <w:b/>
                <w:color w:val="FFFFFF" w:themeColor="background1"/>
                <w:sz w:val="19"/>
                <w:szCs w:val="19"/>
              </w:rPr>
            </w:pPr>
            <w:r w:rsidRPr="001E509A">
              <w:rPr>
                <w:b/>
                <w:color w:val="FFFFFF" w:themeColor="background1"/>
                <w:sz w:val="19"/>
                <w:szCs w:val="19"/>
              </w:rPr>
              <w:t>BA.2.12.1</w:t>
            </w:r>
          </w:p>
        </w:tc>
        <w:tc>
          <w:tcPr>
            <w:tcW w:w="952" w:type="pct"/>
            <w:tcBorders>
              <w:left w:val="single" w:sz="4" w:space="0" w:color="FFFFFF" w:themeColor="background1"/>
            </w:tcBorders>
            <w:shd w:val="clear" w:color="auto" w:fill="00457D"/>
            <w:vAlign w:val="center"/>
          </w:tcPr>
          <w:p w:rsidR="00843B66" w:rsidRPr="001E509A" w:rsidRDefault="00843B66" w:rsidP="001E509A">
            <w:pPr>
              <w:spacing w:after="0"/>
              <w:jc w:val="center"/>
              <w:rPr>
                <w:b/>
                <w:color w:val="FFFFFF" w:themeColor="background1"/>
                <w:sz w:val="19"/>
                <w:szCs w:val="19"/>
              </w:rPr>
            </w:pPr>
            <w:r w:rsidRPr="001E509A">
              <w:rPr>
                <w:b/>
                <w:color w:val="FFFFFF" w:themeColor="background1"/>
                <w:sz w:val="19"/>
                <w:szCs w:val="19"/>
              </w:rPr>
              <w:t>BA.4 e BA.5</w:t>
            </w:r>
          </w:p>
        </w:tc>
      </w:tr>
      <w:tr w:rsidR="001E509A" w:rsidRPr="00843B66" w:rsidTr="001E509A">
        <w:trPr>
          <w:trHeight w:val="454"/>
        </w:trPr>
        <w:tc>
          <w:tcPr>
            <w:tcW w:w="1418" w:type="pct"/>
            <w:vAlign w:val="center"/>
          </w:tcPr>
          <w:p w:rsidR="00843B66" w:rsidRPr="001E509A" w:rsidRDefault="00843B66" w:rsidP="001E509A">
            <w:pPr>
              <w:spacing w:after="0" w:line="240" w:lineRule="auto"/>
              <w:rPr>
                <w:b/>
                <w:color w:val="00457D"/>
                <w:sz w:val="19"/>
                <w:szCs w:val="19"/>
              </w:rPr>
            </w:pPr>
            <w:r w:rsidRPr="001E509A">
              <w:rPr>
                <w:b/>
                <w:color w:val="00457D"/>
                <w:sz w:val="19"/>
                <w:szCs w:val="19"/>
              </w:rPr>
              <w:t>Trasmissibilità</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Standard di riferimento</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Aumento del 30%</w:t>
            </w:r>
          </w:p>
        </w:tc>
        <w:tc>
          <w:tcPr>
            <w:tcW w:w="877" w:type="pct"/>
            <w:gridSpan w:val="2"/>
            <w:vAlign w:val="center"/>
          </w:tcPr>
          <w:p w:rsidR="00843B66" w:rsidRPr="001E509A" w:rsidRDefault="00843B66" w:rsidP="001E509A">
            <w:pPr>
              <w:spacing w:after="0" w:line="240" w:lineRule="auto"/>
              <w:jc w:val="center"/>
              <w:rPr>
                <w:sz w:val="19"/>
                <w:szCs w:val="19"/>
              </w:rPr>
            </w:pPr>
            <w:r w:rsidRPr="001E509A">
              <w:rPr>
                <w:sz w:val="19"/>
                <w:szCs w:val="19"/>
              </w:rPr>
              <w:t xml:space="preserve">Aumento del 25% </w:t>
            </w:r>
            <w:r w:rsidRPr="001E509A">
              <w:rPr>
                <w:sz w:val="19"/>
                <w:szCs w:val="19"/>
              </w:rPr>
              <w:br/>
              <w:t>rispetto a BA.2</w:t>
            </w:r>
          </w:p>
        </w:tc>
        <w:tc>
          <w:tcPr>
            <w:tcW w:w="952" w:type="pct"/>
            <w:vAlign w:val="center"/>
          </w:tcPr>
          <w:p w:rsidR="00843B66" w:rsidRPr="001E509A" w:rsidRDefault="00843B66" w:rsidP="001E509A">
            <w:pPr>
              <w:spacing w:after="0" w:line="240" w:lineRule="auto"/>
              <w:jc w:val="center"/>
              <w:rPr>
                <w:spacing w:val="-2"/>
                <w:sz w:val="19"/>
                <w:szCs w:val="19"/>
              </w:rPr>
            </w:pPr>
            <w:r w:rsidRPr="001E509A">
              <w:rPr>
                <w:spacing w:val="-2"/>
                <w:sz w:val="19"/>
                <w:szCs w:val="19"/>
              </w:rPr>
              <w:t>Aumento di circa il 10% rispetto a BA.2</w:t>
            </w:r>
          </w:p>
        </w:tc>
      </w:tr>
      <w:tr w:rsidR="001E509A" w:rsidRPr="00843B66" w:rsidTr="001E509A">
        <w:trPr>
          <w:trHeight w:val="454"/>
        </w:trPr>
        <w:tc>
          <w:tcPr>
            <w:tcW w:w="1418" w:type="pct"/>
            <w:vAlign w:val="center"/>
          </w:tcPr>
          <w:p w:rsidR="00843B66" w:rsidRPr="001E509A" w:rsidRDefault="00843B66" w:rsidP="001E509A">
            <w:pPr>
              <w:spacing w:after="0" w:line="240" w:lineRule="auto"/>
              <w:rPr>
                <w:b/>
                <w:color w:val="00457D"/>
                <w:sz w:val="19"/>
                <w:szCs w:val="19"/>
              </w:rPr>
            </w:pPr>
            <w:r w:rsidRPr="00EA78AE">
              <w:rPr>
                <w:b/>
                <w:i/>
                <w:color w:val="00457D"/>
                <w:sz w:val="19"/>
                <w:szCs w:val="19"/>
              </w:rPr>
              <w:t>Escape</w:t>
            </w:r>
            <w:r w:rsidRPr="001E509A">
              <w:rPr>
                <w:b/>
                <w:color w:val="00457D"/>
                <w:sz w:val="19"/>
                <w:szCs w:val="19"/>
              </w:rPr>
              <w:t xml:space="preserve"> immunitario</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Standard di riferimento</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w:t>
            </w:r>
          </w:p>
        </w:tc>
        <w:tc>
          <w:tcPr>
            <w:tcW w:w="877" w:type="pct"/>
            <w:gridSpan w:val="2"/>
            <w:vAlign w:val="center"/>
          </w:tcPr>
          <w:p w:rsidR="00843B66" w:rsidRPr="001E509A" w:rsidRDefault="00843B66" w:rsidP="001E509A">
            <w:pPr>
              <w:spacing w:after="0" w:line="240" w:lineRule="auto"/>
              <w:jc w:val="center"/>
              <w:rPr>
                <w:sz w:val="19"/>
                <w:szCs w:val="19"/>
              </w:rPr>
            </w:pPr>
            <w:r w:rsidRPr="001E509A">
              <w:rPr>
                <w:sz w:val="19"/>
                <w:szCs w:val="19"/>
              </w:rPr>
              <w:t>+++</w:t>
            </w:r>
          </w:p>
        </w:tc>
        <w:tc>
          <w:tcPr>
            <w:tcW w:w="952" w:type="pct"/>
            <w:vAlign w:val="center"/>
          </w:tcPr>
          <w:p w:rsidR="00843B66" w:rsidRPr="001E509A" w:rsidRDefault="00843B66" w:rsidP="001E509A">
            <w:pPr>
              <w:spacing w:after="0" w:line="240" w:lineRule="auto"/>
              <w:jc w:val="center"/>
              <w:rPr>
                <w:sz w:val="19"/>
                <w:szCs w:val="19"/>
              </w:rPr>
            </w:pPr>
            <w:r w:rsidRPr="001E509A">
              <w:rPr>
                <w:sz w:val="19"/>
                <w:szCs w:val="19"/>
              </w:rPr>
              <w:t>+++</w:t>
            </w:r>
          </w:p>
        </w:tc>
      </w:tr>
      <w:tr w:rsidR="001E509A" w:rsidRPr="00843B66" w:rsidTr="001E509A">
        <w:trPr>
          <w:trHeight w:val="454"/>
        </w:trPr>
        <w:tc>
          <w:tcPr>
            <w:tcW w:w="1418" w:type="pct"/>
            <w:vAlign w:val="center"/>
          </w:tcPr>
          <w:p w:rsidR="00843B66" w:rsidRPr="001E509A" w:rsidRDefault="00843B66" w:rsidP="001E509A">
            <w:pPr>
              <w:spacing w:after="0" w:line="240" w:lineRule="auto"/>
              <w:rPr>
                <w:b/>
                <w:color w:val="00457D"/>
                <w:sz w:val="19"/>
                <w:szCs w:val="19"/>
              </w:rPr>
            </w:pPr>
            <w:r w:rsidRPr="001E509A">
              <w:rPr>
                <w:b/>
                <w:color w:val="00457D"/>
                <w:sz w:val="19"/>
                <w:szCs w:val="19"/>
              </w:rPr>
              <w:t>Immunità crociata vs BA.1</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Standard di riferimento</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Per lo più conservata</w:t>
            </w:r>
          </w:p>
        </w:tc>
        <w:tc>
          <w:tcPr>
            <w:tcW w:w="877" w:type="pct"/>
            <w:gridSpan w:val="2"/>
            <w:vAlign w:val="center"/>
          </w:tcPr>
          <w:p w:rsidR="00843B66" w:rsidRPr="001E509A" w:rsidRDefault="00843B66" w:rsidP="001E509A">
            <w:pPr>
              <w:spacing w:after="0" w:line="240" w:lineRule="auto"/>
              <w:jc w:val="center"/>
              <w:rPr>
                <w:sz w:val="19"/>
                <w:szCs w:val="19"/>
              </w:rPr>
            </w:pPr>
            <w:r w:rsidRPr="001E509A">
              <w:rPr>
                <w:sz w:val="19"/>
                <w:szCs w:val="19"/>
              </w:rPr>
              <w:t>Ridotta</w:t>
            </w:r>
          </w:p>
        </w:tc>
        <w:tc>
          <w:tcPr>
            <w:tcW w:w="952" w:type="pct"/>
            <w:vAlign w:val="center"/>
          </w:tcPr>
          <w:p w:rsidR="00843B66" w:rsidRPr="001E509A" w:rsidRDefault="00843B66" w:rsidP="001E509A">
            <w:pPr>
              <w:spacing w:after="0" w:line="240" w:lineRule="auto"/>
              <w:jc w:val="center"/>
              <w:rPr>
                <w:sz w:val="19"/>
                <w:szCs w:val="19"/>
              </w:rPr>
            </w:pPr>
            <w:r w:rsidRPr="001E509A">
              <w:rPr>
                <w:sz w:val="19"/>
                <w:szCs w:val="19"/>
              </w:rPr>
              <w:t>Ridotta</w:t>
            </w:r>
          </w:p>
        </w:tc>
      </w:tr>
      <w:tr w:rsidR="001E509A" w:rsidRPr="00843B66" w:rsidTr="001E509A">
        <w:trPr>
          <w:trHeight w:val="454"/>
        </w:trPr>
        <w:tc>
          <w:tcPr>
            <w:tcW w:w="1418" w:type="pct"/>
            <w:vAlign w:val="center"/>
          </w:tcPr>
          <w:p w:rsidR="00843B66" w:rsidRPr="001E509A" w:rsidRDefault="00843B66" w:rsidP="001E509A">
            <w:pPr>
              <w:spacing w:after="0" w:line="240" w:lineRule="auto"/>
              <w:rPr>
                <w:b/>
                <w:color w:val="00457D"/>
                <w:sz w:val="19"/>
                <w:szCs w:val="19"/>
              </w:rPr>
            </w:pPr>
            <w:r w:rsidRPr="001E509A">
              <w:rPr>
                <w:b/>
                <w:color w:val="00457D"/>
                <w:sz w:val="19"/>
                <w:szCs w:val="19"/>
              </w:rPr>
              <w:t>Resistenza agli anticorpi monoclonali</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Standard di riferimento</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w:t>
            </w:r>
          </w:p>
        </w:tc>
        <w:tc>
          <w:tcPr>
            <w:tcW w:w="877" w:type="pct"/>
            <w:gridSpan w:val="2"/>
            <w:vAlign w:val="center"/>
          </w:tcPr>
          <w:p w:rsidR="00843B66" w:rsidRPr="001E509A" w:rsidRDefault="00843B66" w:rsidP="001E509A">
            <w:pPr>
              <w:spacing w:after="0" w:line="240" w:lineRule="auto"/>
              <w:jc w:val="center"/>
              <w:rPr>
                <w:sz w:val="19"/>
                <w:szCs w:val="19"/>
              </w:rPr>
            </w:pPr>
            <w:r w:rsidRPr="001E509A">
              <w:rPr>
                <w:sz w:val="19"/>
                <w:szCs w:val="19"/>
              </w:rPr>
              <w:t>+++</w:t>
            </w:r>
          </w:p>
        </w:tc>
        <w:tc>
          <w:tcPr>
            <w:tcW w:w="952" w:type="pct"/>
            <w:vAlign w:val="center"/>
          </w:tcPr>
          <w:p w:rsidR="00843B66" w:rsidRPr="001E509A" w:rsidRDefault="00843B66" w:rsidP="001E509A">
            <w:pPr>
              <w:spacing w:after="0" w:line="240" w:lineRule="auto"/>
              <w:jc w:val="center"/>
              <w:rPr>
                <w:sz w:val="19"/>
                <w:szCs w:val="19"/>
              </w:rPr>
            </w:pPr>
            <w:r w:rsidRPr="001E509A">
              <w:rPr>
                <w:sz w:val="19"/>
                <w:szCs w:val="19"/>
              </w:rPr>
              <w:t>+++</w:t>
            </w:r>
          </w:p>
        </w:tc>
      </w:tr>
      <w:tr w:rsidR="001E509A" w:rsidRPr="00843B66" w:rsidTr="001E509A">
        <w:trPr>
          <w:trHeight w:val="454"/>
        </w:trPr>
        <w:tc>
          <w:tcPr>
            <w:tcW w:w="1418" w:type="pct"/>
            <w:vAlign w:val="center"/>
          </w:tcPr>
          <w:p w:rsidR="00843B66" w:rsidRPr="001E509A" w:rsidRDefault="001E509A" w:rsidP="001E509A">
            <w:pPr>
              <w:spacing w:after="0" w:line="240" w:lineRule="auto"/>
              <w:rPr>
                <w:b/>
                <w:color w:val="00457D"/>
                <w:sz w:val="19"/>
                <w:szCs w:val="19"/>
              </w:rPr>
            </w:pPr>
            <w:r>
              <w:rPr>
                <w:b/>
                <w:color w:val="00457D"/>
                <w:sz w:val="19"/>
                <w:szCs w:val="19"/>
              </w:rPr>
              <w:t>Paesi</w:t>
            </w:r>
            <w:r w:rsidR="00843B66" w:rsidRPr="001E509A">
              <w:rPr>
                <w:b/>
                <w:color w:val="00457D"/>
                <w:sz w:val="19"/>
                <w:szCs w:val="19"/>
              </w:rPr>
              <w:t xml:space="preserve"> </w:t>
            </w:r>
            <w:r w:rsidR="00C2644B">
              <w:rPr>
                <w:b/>
                <w:color w:val="00457D"/>
                <w:sz w:val="19"/>
                <w:szCs w:val="19"/>
              </w:rPr>
              <w:t>in cui</w:t>
            </w:r>
            <w:r w:rsidR="00C2644B" w:rsidRPr="001E509A">
              <w:rPr>
                <w:b/>
                <w:color w:val="00457D"/>
                <w:sz w:val="19"/>
                <w:szCs w:val="19"/>
              </w:rPr>
              <w:t xml:space="preserve"> </w:t>
            </w:r>
            <w:r w:rsidR="00843B66" w:rsidRPr="001E509A">
              <w:rPr>
                <w:b/>
                <w:color w:val="00457D"/>
                <w:sz w:val="19"/>
                <w:szCs w:val="19"/>
              </w:rPr>
              <w:t>è dominante</w:t>
            </w:r>
          </w:p>
        </w:tc>
        <w:tc>
          <w:tcPr>
            <w:tcW w:w="877" w:type="pct"/>
            <w:vAlign w:val="center"/>
          </w:tcPr>
          <w:p w:rsidR="00843B66" w:rsidRPr="001E509A" w:rsidRDefault="00843B66" w:rsidP="001E509A">
            <w:pPr>
              <w:spacing w:after="0" w:line="240" w:lineRule="auto"/>
              <w:jc w:val="center"/>
              <w:rPr>
                <w:sz w:val="19"/>
                <w:szCs w:val="19"/>
              </w:rPr>
            </w:pPr>
            <w:r w:rsidRPr="001E509A">
              <w:rPr>
                <w:color w:val="auto"/>
                <w:sz w:val="19"/>
                <w:szCs w:val="19"/>
              </w:rPr>
              <w:t>Ovunque</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&gt;100 paesi</w:t>
            </w:r>
          </w:p>
        </w:tc>
        <w:tc>
          <w:tcPr>
            <w:tcW w:w="877" w:type="pct"/>
            <w:gridSpan w:val="2"/>
            <w:vAlign w:val="center"/>
          </w:tcPr>
          <w:p w:rsidR="00843B66" w:rsidRPr="001E509A" w:rsidRDefault="00843B66" w:rsidP="001E509A">
            <w:pPr>
              <w:spacing w:after="0" w:line="240" w:lineRule="auto"/>
              <w:jc w:val="center"/>
              <w:rPr>
                <w:sz w:val="19"/>
                <w:szCs w:val="19"/>
              </w:rPr>
            </w:pPr>
            <w:r w:rsidRPr="001E509A">
              <w:rPr>
                <w:sz w:val="19"/>
                <w:szCs w:val="19"/>
              </w:rPr>
              <w:t>USA</w:t>
            </w:r>
            <w:r w:rsidR="00EC3BF8" w:rsidRPr="001E509A">
              <w:rPr>
                <w:sz w:val="19"/>
                <w:szCs w:val="19"/>
              </w:rPr>
              <w:t xml:space="preserve"> (</w:t>
            </w:r>
            <w:hyperlink r:id="rId9" w:history="1">
              <w:r w:rsidRPr="001E509A">
                <w:rPr>
                  <w:rStyle w:val="Collegamentoipertestuale"/>
                  <w:sz w:val="19"/>
                  <w:szCs w:val="19"/>
                </w:rPr>
                <w:t>Regione 2</w:t>
              </w:r>
            </w:hyperlink>
            <w:r w:rsidR="00EC3BF8" w:rsidRPr="001E509A">
              <w:rPr>
                <w:sz w:val="19"/>
                <w:szCs w:val="19"/>
              </w:rPr>
              <w:t>)</w:t>
            </w:r>
          </w:p>
        </w:tc>
        <w:tc>
          <w:tcPr>
            <w:tcW w:w="952" w:type="pct"/>
            <w:vAlign w:val="center"/>
          </w:tcPr>
          <w:p w:rsidR="00843B66" w:rsidRPr="001E509A" w:rsidRDefault="00843B66" w:rsidP="001E509A">
            <w:pPr>
              <w:spacing w:after="0" w:line="240" w:lineRule="auto"/>
              <w:jc w:val="center"/>
              <w:rPr>
                <w:sz w:val="19"/>
                <w:szCs w:val="19"/>
              </w:rPr>
            </w:pPr>
            <w:r w:rsidRPr="001E509A">
              <w:rPr>
                <w:sz w:val="19"/>
                <w:szCs w:val="19"/>
              </w:rPr>
              <w:t>Sudafrica</w:t>
            </w:r>
          </w:p>
        </w:tc>
      </w:tr>
      <w:tr w:rsidR="001E509A" w:rsidRPr="00843B66" w:rsidTr="001E509A">
        <w:trPr>
          <w:trHeight w:val="454"/>
        </w:trPr>
        <w:tc>
          <w:tcPr>
            <w:tcW w:w="1418" w:type="pct"/>
            <w:vAlign w:val="center"/>
          </w:tcPr>
          <w:p w:rsidR="00843B66" w:rsidRPr="001E509A" w:rsidRDefault="00843B66" w:rsidP="009A72B7">
            <w:pPr>
              <w:spacing w:after="0" w:line="240" w:lineRule="auto"/>
              <w:rPr>
                <w:b/>
                <w:color w:val="00457D"/>
                <w:sz w:val="19"/>
                <w:szCs w:val="19"/>
              </w:rPr>
            </w:pPr>
            <w:r w:rsidRPr="001E509A">
              <w:rPr>
                <w:b/>
                <w:color w:val="00457D"/>
                <w:sz w:val="19"/>
                <w:szCs w:val="19"/>
              </w:rPr>
              <w:t>Efficacia</w:t>
            </w:r>
            <w:r w:rsidR="006C1B58">
              <w:rPr>
                <w:b/>
                <w:color w:val="00457D"/>
                <w:sz w:val="19"/>
                <w:szCs w:val="19"/>
              </w:rPr>
              <w:t xml:space="preserve"> vaccinale</w:t>
            </w:r>
            <w:r w:rsidR="001E509A" w:rsidRPr="001E509A">
              <w:rPr>
                <w:b/>
                <w:color w:val="00457D"/>
                <w:sz w:val="19"/>
                <w:szCs w:val="19"/>
              </w:rPr>
              <w:t xml:space="preserve"> sull’ospedalizzazione </w:t>
            </w:r>
            <w:r w:rsidR="0057592B">
              <w:rPr>
                <w:b/>
                <w:color w:val="00457D"/>
                <w:sz w:val="19"/>
                <w:szCs w:val="19"/>
              </w:rPr>
              <w:br/>
            </w:r>
            <w:r w:rsidR="001E509A" w:rsidRPr="001E509A">
              <w:rPr>
                <w:b/>
                <w:color w:val="00457D"/>
                <w:sz w:val="19"/>
                <w:szCs w:val="19"/>
              </w:rPr>
              <w:t>(ciclo</w:t>
            </w:r>
            <w:r w:rsidR="009A72B7">
              <w:rPr>
                <w:b/>
                <w:color w:val="00457D"/>
                <w:sz w:val="19"/>
                <w:szCs w:val="19"/>
              </w:rPr>
              <w:t xml:space="preserve"> </w:t>
            </w:r>
            <w:r w:rsidRPr="001E509A">
              <w:rPr>
                <w:b/>
                <w:color w:val="00457D"/>
                <w:sz w:val="19"/>
                <w:szCs w:val="19"/>
              </w:rPr>
              <w:t xml:space="preserve">completo + </w:t>
            </w:r>
            <w:r w:rsidRPr="001E509A">
              <w:rPr>
                <w:b/>
                <w:i/>
                <w:color w:val="00457D"/>
                <w:sz w:val="19"/>
                <w:szCs w:val="19"/>
              </w:rPr>
              <w:t>booster</w:t>
            </w:r>
            <w:r w:rsidR="001E509A" w:rsidRPr="001E509A">
              <w:rPr>
                <w:b/>
                <w:color w:val="00457D"/>
                <w:sz w:val="19"/>
                <w:szCs w:val="19"/>
              </w:rPr>
              <w:t>)</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81%</w:t>
            </w:r>
          </w:p>
          <w:p w:rsidR="00843B66" w:rsidRPr="001E509A" w:rsidRDefault="00843B66" w:rsidP="001E509A">
            <w:pPr>
              <w:spacing w:after="0" w:line="240" w:lineRule="auto"/>
              <w:jc w:val="center"/>
              <w:rPr>
                <w:sz w:val="19"/>
                <w:szCs w:val="19"/>
              </w:rPr>
            </w:pPr>
            <w:r w:rsidRPr="001E509A">
              <w:rPr>
                <w:sz w:val="19"/>
                <w:szCs w:val="19"/>
              </w:rPr>
              <w:t>(IC 95%</w:t>
            </w:r>
            <w:r w:rsidR="001E509A">
              <w:rPr>
                <w:sz w:val="19"/>
                <w:szCs w:val="19"/>
              </w:rPr>
              <w:t xml:space="preserve">: </w:t>
            </w:r>
            <w:r w:rsidRPr="001E509A">
              <w:rPr>
                <w:sz w:val="19"/>
                <w:szCs w:val="19"/>
              </w:rPr>
              <w:t>75</w:t>
            </w:r>
            <w:r w:rsidR="001E509A">
              <w:rPr>
                <w:sz w:val="19"/>
                <w:szCs w:val="19"/>
              </w:rPr>
              <w:t>-</w:t>
            </w:r>
            <w:r w:rsidRPr="001E509A">
              <w:rPr>
                <w:sz w:val="19"/>
                <w:szCs w:val="19"/>
              </w:rPr>
              <w:t>85%)</w:t>
            </w:r>
          </w:p>
        </w:tc>
        <w:tc>
          <w:tcPr>
            <w:tcW w:w="877" w:type="pct"/>
            <w:vAlign w:val="center"/>
          </w:tcPr>
          <w:p w:rsidR="00843B66" w:rsidRPr="001E509A" w:rsidRDefault="00843B66" w:rsidP="001E509A">
            <w:pPr>
              <w:spacing w:after="0" w:line="240" w:lineRule="auto"/>
              <w:jc w:val="center"/>
              <w:rPr>
                <w:sz w:val="19"/>
                <w:szCs w:val="19"/>
              </w:rPr>
            </w:pPr>
            <w:r w:rsidRPr="001E509A">
              <w:rPr>
                <w:sz w:val="19"/>
                <w:szCs w:val="19"/>
              </w:rPr>
              <w:t>83%</w:t>
            </w:r>
          </w:p>
          <w:p w:rsidR="00843B66" w:rsidRPr="001E509A" w:rsidRDefault="00843B66" w:rsidP="001E509A">
            <w:pPr>
              <w:spacing w:after="0" w:line="240" w:lineRule="auto"/>
              <w:jc w:val="center"/>
              <w:rPr>
                <w:sz w:val="19"/>
                <w:szCs w:val="19"/>
              </w:rPr>
            </w:pPr>
            <w:r w:rsidRPr="001E509A">
              <w:rPr>
                <w:sz w:val="19"/>
                <w:szCs w:val="19"/>
              </w:rPr>
              <w:t>(IC 95%</w:t>
            </w:r>
            <w:r w:rsidR="001E509A">
              <w:rPr>
                <w:sz w:val="19"/>
                <w:szCs w:val="19"/>
              </w:rPr>
              <w:t>:</w:t>
            </w:r>
            <w:r w:rsidRPr="001E509A">
              <w:rPr>
                <w:sz w:val="19"/>
                <w:szCs w:val="19"/>
              </w:rPr>
              <w:t xml:space="preserve"> 71</w:t>
            </w:r>
            <w:r w:rsidR="001E509A">
              <w:rPr>
                <w:sz w:val="19"/>
                <w:szCs w:val="19"/>
              </w:rPr>
              <w:t>-91</w:t>
            </w:r>
            <w:r w:rsidRPr="001E509A">
              <w:rPr>
                <w:sz w:val="19"/>
                <w:szCs w:val="19"/>
              </w:rPr>
              <w:t>%)</w:t>
            </w:r>
          </w:p>
        </w:tc>
        <w:tc>
          <w:tcPr>
            <w:tcW w:w="877" w:type="pct"/>
            <w:gridSpan w:val="2"/>
            <w:vAlign w:val="center"/>
          </w:tcPr>
          <w:p w:rsidR="00843B66" w:rsidRPr="001E509A" w:rsidRDefault="00843B66" w:rsidP="001E509A">
            <w:pPr>
              <w:spacing w:after="0" w:line="240" w:lineRule="auto"/>
              <w:jc w:val="center"/>
              <w:rPr>
                <w:sz w:val="19"/>
                <w:szCs w:val="19"/>
              </w:rPr>
            </w:pPr>
            <w:r w:rsidRPr="001E509A">
              <w:rPr>
                <w:sz w:val="19"/>
                <w:szCs w:val="19"/>
              </w:rPr>
              <w:t>Da definire</w:t>
            </w:r>
          </w:p>
        </w:tc>
        <w:tc>
          <w:tcPr>
            <w:tcW w:w="952" w:type="pct"/>
            <w:vAlign w:val="center"/>
          </w:tcPr>
          <w:p w:rsidR="00843B66" w:rsidRPr="001E509A" w:rsidRDefault="00843B66" w:rsidP="001E509A">
            <w:pPr>
              <w:spacing w:after="0" w:line="240" w:lineRule="auto"/>
              <w:jc w:val="center"/>
              <w:rPr>
                <w:sz w:val="19"/>
                <w:szCs w:val="19"/>
              </w:rPr>
            </w:pPr>
            <w:r w:rsidRPr="001E509A">
              <w:rPr>
                <w:sz w:val="19"/>
                <w:szCs w:val="19"/>
              </w:rPr>
              <w:t>Da definire</w:t>
            </w:r>
          </w:p>
        </w:tc>
      </w:tr>
      <w:tr w:rsidR="001E509A" w:rsidRPr="00843B66" w:rsidTr="001E509A">
        <w:trPr>
          <w:trHeight w:val="454"/>
        </w:trPr>
        <w:tc>
          <w:tcPr>
            <w:tcW w:w="1418" w:type="pct"/>
            <w:tcBorders>
              <w:bottom w:val="single" w:sz="4" w:space="0" w:color="00457D"/>
            </w:tcBorders>
            <w:vAlign w:val="center"/>
          </w:tcPr>
          <w:p w:rsidR="00843B66" w:rsidRPr="001E509A" w:rsidRDefault="001E509A" w:rsidP="001E509A">
            <w:pPr>
              <w:spacing w:after="0" w:line="240" w:lineRule="auto"/>
              <w:rPr>
                <w:b/>
                <w:color w:val="00457D"/>
                <w:sz w:val="19"/>
                <w:szCs w:val="19"/>
              </w:rPr>
            </w:pPr>
            <w:r w:rsidRPr="001E509A">
              <w:rPr>
                <w:b/>
                <w:color w:val="00457D"/>
                <w:sz w:val="19"/>
                <w:szCs w:val="19"/>
              </w:rPr>
              <w:t>Efficacia</w:t>
            </w:r>
            <w:r w:rsidR="006C1B58">
              <w:rPr>
                <w:b/>
                <w:color w:val="00457D"/>
                <w:sz w:val="19"/>
                <w:szCs w:val="19"/>
              </w:rPr>
              <w:t xml:space="preserve"> vaccinale</w:t>
            </w:r>
            <w:r w:rsidRPr="001E509A">
              <w:rPr>
                <w:b/>
                <w:color w:val="00457D"/>
                <w:sz w:val="19"/>
                <w:szCs w:val="19"/>
              </w:rPr>
              <w:t xml:space="preserve"> sull’ospedalizzazione </w:t>
            </w:r>
            <w:r w:rsidR="0057592B">
              <w:rPr>
                <w:b/>
                <w:color w:val="00457D"/>
                <w:sz w:val="19"/>
                <w:szCs w:val="19"/>
              </w:rPr>
              <w:br/>
            </w:r>
            <w:r w:rsidRPr="001E509A">
              <w:rPr>
                <w:b/>
                <w:color w:val="00457D"/>
                <w:sz w:val="19"/>
                <w:szCs w:val="19"/>
              </w:rPr>
              <w:t>(solo ciclo completo)</w:t>
            </w:r>
          </w:p>
        </w:tc>
        <w:tc>
          <w:tcPr>
            <w:tcW w:w="877" w:type="pct"/>
            <w:tcBorders>
              <w:bottom w:val="single" w:sz="4" w:space="0" w:color="00457D"/>
            </w:tcBorders>
            <w:vAlign w:val="center"/>
          </w:tcPr>
          <w:p w:rsidR="00843B66" w:rsidRPr="001E509A" w:rsidRDefault="00843B66" w:rsidP="001E509A">
            <w:pPr>
              <w:spacing w:after="0" w:line="240" w:lineRule="auto"/>
              <w:jc w:val="center"/>
              <w:rPr>
                <w:sz w:val="19"/>
                <w:szCs w:val="19"/>
              </w:rPr>
            </w:pPr>
            <w:r w:rsidRPr="001E509A">
              <w:rPr>
                <w:sz w:val="19"/>
                <w:szCs w:val="19"/>
              </w:rPr>
              <w:t>32%</w:t>
            </w:r>
          </w:p>
          <w:p w:rsidR="00843B66" w:rsidRPr="001E509A" w:rsidRDefault="00843B66" w:rsidP="001E509A">
            <w:pPr>
              <w:spacing w:after="0" w:line="240" w:lineRule="auto"/>
              <w:jc w:val="center"/>
              <w:rPr>
                <w:sz w:val="19"/>
                <w:szCs w:val="19"/>
              </w:rPr>
            </w:pPr>
            <w:r w:rsidRPr="001E509A">
              <w:rPr>
                <w:sz w:val="19"/>
                <w:szCs w:val="19"/>
              </w:rPr>
              <w:t>(IC 95%</w:t>
            </w:r>
            <w:r w:rsidR="001E509A">
              <w:rPr>
                <w:sz w:val="19"/>
                <w:szCs w:val="19"/>
              </w:rPr>
              <w:t>:</w:t>
            </w:r>
            <w:r w:rsidRPr="001E509A">
              <w:rPr>
                <w:sz w:val="19"/>
                <w:szCs w:val="19"/>
              </w:rPr>
              <w:t xml:space="preserve"> 11</w:t>
            </w:r>
            <w:r w:rsidR="001E509A">
              <w:rPr>
                <w:sz w:val="19"/>
                <w:szCs w:val="19"/>
              </w:rPr>
              <w:t>-</w:t>
            </w:r>
            <w:r w:rsidRPr="001E509A">
              <w:rPr>
                <w:sz w:val="19"/>
                <w:szCs w:val="19"/>
              </w:rPr>
              <w:t>49%)</w:t>
            </w:r>
          </w:p>
        </w:tc>
        <w:tc>
          <w:tcPr>
            <w:tcW w:w="877" w:type="pct"/>
            <w:tcBorders>
              <w:bottom w:val="single" w:sz="4" w:space="0" w:color="00457D"/>
            </w:tcBorders>
            <w:vAlign w:val="center"/>
          </w:tcPr>
          <w:p w:rsidR="00843B66" w:rsidRPr="001E509A" w:rsidRDefault="00843B66" w:rsidP="001E509A">
            <w:pPr>
              <w:spacing w:after="0" w:line="240" w:lineRule="auto"/>
              <w:jc w:val="center"/>
              <w:rPr>
                <w:sz w:val="19"/>
                <w:szCs w:val="19"/>
              </w:rPr>
            </w:pPr>
            <w:r w:rsidRPr="001E509A">
              <w:rPr>
                <w:sz w:val="19"/>
                <w:szCs w:val="19"/>
              </w:rPr>
              <w:t>50%</w:t>
            </w:r>
          </w:p>
          <w:p w:rsidR="00843B66" w:rsidRPr="001E509A" w:rsidRDefault="00843B66" w:rsidP="001E509A">
            <w:pPr>
              <w:spacing w:after="0" w:line="240" w:lineRule="auto"/>
              <w:jc w:val="center"/>
              <w:rPr>
                <w:sz w:val="19"/>
                <w:szCs w:val="19"/>
              </w:rPr>
            </w:pPr>
            <w:r w:rsidRPr="001E509A">
              <w:rPr>
                <w:sz w:val="19"/>
                <w:szCs w:val="19"/>
              </w:rPr>
              <w:t>(IC 95%</w:t>
            </w:r>
            <w:r w:rsidR="001E509A">
              <w:rPr>
                <w:sz w:val="19"/>
                <w:szCs w:val="19"/>
              </w:rPr>
              <w:t>:</w:t>
            </w:r>
            <w:r w:rsidRPr="001E509A">
              <w:rPr>
                <w:sz w:val="19"/>
                <w:szCs w:val="19"/>
              </w:rPr>
              <w:t xml:space="preserve"> 7</w:t>
            </w:r>
            <w:r w:rsidR="001E509A">
              <w:rPr>
                <w:sz w:val="19"/>
                <w:szCs w:val="19"/>
              </w:rPr>
              <w:t>-</w:t>
            </w:r>
            <w:r w:rsidRPr="001E509A">
              <w:rPr>
                <w:sz w:val="19"/>
                <w:szCs w:val="19"/>
              </w:rPr>
              <w:t>73%)</w:t>
            </w:r>
          </w:p>
        </w:tc>
        <w:tc>
          <w:tcPr>
            <w:tcW w:w="877" w:type="pct"/>
            <w:gridSpan w:val="2"/>
            <w:tcBorders>
              <w:bottom w:val="single" w:sz="4" w:space="0" w:color="00457D"/>
            </w:tcBorders>
            <w:vAlign w:val="center"/>
          </w:tcPr>
          <w:p w:rsidR="00843B66" w:rsidRPr="001E509A" w:rsidRDefault="00843B66" w:rsidP="001E509A">
            <w:pPr>
              <w:spacing w:after="0" w:line="240" w:lineRule="auto"/>
              <w:jc w:val="center"/>
              <w:rPr>
                <w:sz w:val="19"/>
                <w:szCs w:val="19"/>
              </w:rPr>
            </w:pPr>
            <w:r w:rsidRPr="001E509A">
              <w:rPr>
                <w:sz w:val="19"/>
                <w:szCs w:val="19"/>
              </w:rPr>
              <w:t>Da definire</w:t>
            </w:r>
          </w:p>
        </w:tc>
        <w:tc>
          <w:tcPr>
            <w:tcW w:w="952" w:type="pct"/>
            <w:tcBorders>
              <w:bottom w:val="single" w:sz="4" w:space="0" w:color="00457D"/>
            </w:tcBorders>
            <w:vAlign w:val="center"/>
          </w:tcPr>
          <w:p w:rsidR="00843B66" w:rsidRPr="001E509A" w:rsidRDefault="00843B66" w:rsidP="001E509A">
            <w:pPr>
              <w:spacing w:after="0" w:line="240" w:lineRule="auto"/>
              <w:jc w:val="center"/>
              <w:rPr>
                <w:sz w:val="19"/>
                <w:szCs w:val="19"/>
              </w:rPr>
            </w:pPr>
            <w:r w:rsidRPr="001E509A">
              <w:rPr>
                <w:sz w:val="19"/>
                <w:szCs w:val="19"/>
              </w:rPr>
              <w:t>Da definire</w:t>
            </w:r>
          </w:p>
        </w:tc>
      </w:tr>
      <w:tr w:rsidR="001E509A" w:rsidRPr="00843B66" w:rsidTr="001E509A">
        <w:trPr>
          <w:trHeight w:val="680"/>
        </w:trPr>
        <w:tc>
          <w:tcPr>
            <w:tcW w:w="4030" w:type="pct"/>
            <w:gridSpan w:val="4"/>
            <w:tcBorders>
              <w:top w:val="single" w:sz="4" w:space="0" w:color="00457D"/>
              <w:left w:val="nil"/>
              <w:bottom w:val="nil"/>
              <w:right w:val="nil"/>
            </w:tcBorders>
            <w:vAlign w:val="center"/>
          </w:tcPr>
          <w:p w:rsidR="001E509A" w:rsidRPr="001E509A" w:rsidRDefault="001E509A" w:rsidP="001E509A">
            <w:pPr>
              <w:spacing w:after="80"/>
              <w:rPr>
                <w:sz w:val="16"/>
                <w:szCs w:val="19"/>
              </w:rPr>
            </w:pPr>
            <w:r w:rsidRPr="001E509A">
              <w:rPr>
                <w:sz w:val="16"/>
                <w:szCs w:val="19"/>
              </w:rPr>
              <w:t>IC = Intervallo di confidenza</w:t>
            </w:r>
            <w:r>
              <w:rPr>
                <w:sz w:val="16"/>
                <w:szCs w:val="19"/>
              </w:rPr>
              <w:br/>
            </w:r>
            <w:r w:rsidRPr="001E509A">
              <w:rPr>
                <w:i/>
                <w:sz w:val="6"/>
                <w:szCs w:val="6"/>
              </w:rPr>
              <w:br/>
            </w:r>
            <w:r>
              <w:rPr>
                <w:i/>
                <w:sz w:val="16"/>
                <w:szCs w:val="19"/>
              </w:rPr>
              <w:t>T</w:t>
            </w:r>
            <w:r w:rsidRPr="001E509A">
              <w:rPr>
                <w:i/>
                <w:sz w:val="16"/>
                <w:szCs w:val="19"/>
              </w:rPr>
              <w:t xml:space="preserve">radotto e adattato da Eric Topol. URL: </w:t>
            </w:r>
            <w:hyperlink r:id="rId10" w:history="1">
              <w:r w:rsidRPr="001E509A">
                <w:rPr>
                  <w:rStyle w:val="Collegamentoipertestuale"/>
                  <w:i/>
                  <w:sz w:val="16"/>
                  <w:szCs w:val="19"/>
                </w:rPr>
                <w:t>https://twitter.com/EricTopol/status/1521857775407489024</w:t>
              </w:r>
            </w:hyperlink>
          </w:p>
        </w:tc>
        <w:tc>
          <w:tcPr>
            <w:tcW w:w="970" w:type="pct"/>
            <w:gridSpan w:val="2"/>
            <w:tcBorders>
              <w:top w:val="single" w:sz="4" w:space="0" w:color="00457D"/>
              <w:left w:val="nil"/>
              <w:bottom w:val="nil"/>
              <w:right w:val="nil"/>
            </w:tcBorders>
            <w:vAlign w:val="center"/>
          </w:tcPr>
          <w:p w:rsidR="001E509A" w:rsidRPr="001E509A" w:rsidRDefault="001E509A" w:rsidP="001E509A">
            <w:pPr>
              <w:spacing w:after="0"/>
              <w:jc w:val="center"/>
              <w:rPr>
                <w:i/>
                <w:sz w:val="19"/>
                <w:szCs w:val="19"/>
              </w:rPr>
            </w:pPr>
            <w:r>
              <w:rPr>
                <w:noProof/>
                <w:sz w:val="16"/>
                <w:szCs w:val="19"/>
              </w:rPr>
              <w:drawing>
                <wp:inline distT="0" distB="0" distL="0" distR="0" wp14:anchorId="50D26689" wp14:editId="32B48783">
                  <wp:extent cx="716280" cy="238760"/>
                  <wp:effectExtent l="0" t="0" r="7620" b="8890"/>
                  <wp:docPr id="3" name="Immagine 3" descr="C:\Users\Marco Mosti\AppData\Local\Microsoft\Windows\INetCache\Content.Word\GIMBE_Logo_alta_defin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 Mosti\AppData\Local\Microsoft\Windows\INetCache\Content.Word\GIMBE_Logo_alta_definizio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p>
        </w:tc>
      </w:tr>
    </w:tbl>
    <w:p w:rsidR="00EC3BF8" w:rsidRDefault="00EC3BF8" w:rsidP="004D7C29">
      <w:pPr>
        <w:spacing w:before="200" w:line="276" w:lineRule="auto"/>
        <w:jc w:val="both"/>
      </w:pPr>
      <w:r>
        <w:rPr>
          <w:b/>
        </w:rPr>
        <w:t>Reinfezioni</w:t>
      </w:r>
      <w:r>
        <w:t>. Secondo i dati dell’</w:t>
      </w:r>
      <w:hyperlink r:id="rId12" w:history="1">
        <w:r w:rsidRPr="00BB35C5">
          <w:rPr>
            <w:rStyle w:val="Collegamentoipertestuale"/>
          </w:rPr>
          <w:t>ultimo report dell’Istituto Superiore di Sanità</w:t>
        </w:r>
      </w:hyperlink>
      <w:r>
        <w:rPr>
          <w:rStyle w:val="Collegamentoipertestuale"/>
        </w:rPr>
        <w:t>,</w:t>
      </w:r>
      <w:r>
        <w:t xml:space="preserve"> dal 24 agosto 2021 al 4 maggio 2022 in Italia sono stati segnalati quasi 400 mila casi di reinfezione (3,3% del totale). Tuttavia l’incidenza delle reinfezioni, stabile intorno all’1% fino al 6 dicembre 2021 (data di riferimento per l’inizio della diffusione della variante Omicron), è rapidamente salita al 3% a inizio gennaio 2022, mantenendosi su questi valori </w:t>
      </w:r>
      <w:r w:rsidR="00CA4A08">
        <w:t xml:space="preserve">fino </w:t>
      </w:r>
      <w:r>
        <w:t xml:space="preserve">a fine marzo 2022, </w:t>
      </w:r>
      <w:r w:rsidR="00347F76">
        <w:t xml:space="preserve">per poi crescere ulteriormente </w:t>
      </w:r>
      <w:r>
        <w:t>nelle ultime settimane, sino a raggiungere il 5%. Il rischio di reinfezione colpisce in particolare i più giovani (fascia d’età 12-49 anni), le donne rispetto agli uomini</w:t>
      </w:r>
      <w:r w:rsidR="009F7F37">
        <w:t xml:space="preserve">, le persone con </w:t>
      </w:r>
      <w:r w:rsidR="00576241" w:rsidRPr="00576241">
        <w:t>prima diagnosi di COVID-19 notificata da oltre 210 giorni</w:t>
      </w:r>
      <w:r w:rsidR="00C305B1">
        <w:t>, le p</w:t>
      </w:r>
      <w:r w:rsidR="00C305B1" w:rsidRPr="00C305B1">
        <w:t>ersone non vaccinate o vaccinate con almeno una dose da oltre 120 giorni</w:t>
      </w:r>
      <w:r w:rsidR="00C305B1">
        <w:t>, gli o</w:t>
      </w:r>
      <w:r w:rsidR="00C305B1" w:rsidRPr="00C305B1">
        <w:t>peratori sanitari rispetto al resto della popolazione</w:t>
      </w:r>
      <w:r w:rsidR="00C305B1">
        <w:t>.</w:t>
      </w:r>
    </w:p>
    <w:p w:rsidR="000D67CD" w:rsidRPr="000D67CD" w:rsidRDefault="000D67CD" w:rsidP="008D2843">
      <w:pPr>
        <w:spacing w:line="276" w:lineRule="auto"/>
        <w:jc w:val="both"/>
        <w:rPr>
          <w:color w:val="auto"/>
        </w:rPr>
      </w:pPr>
      <w:r w:rsidRPr="000D67CD">
        <w:rPr>
          <w:b/>
          <w:color w:val="auto"/>
        </w:rPr>
        <w:lastRenderedPageBreak/>
        <w:t>Testing.</w:t>
      </w:r>
      <w:r w:rsidRPr="000D67CD">
        <w:rPr>
          <w:color w:val="auto"/>
        </w:rPr>
        <w:t xml:space="preserve"> Si registra un calo del numero dei tamponi totali (-23,6%): da 2.581.456 della settimana 27 aprile 2022-3 maggio a 1.971.656 della settimana 4-10 maggio. In particolare i tam</w:t>
      </w:r>
      <w:r>
        <w:rPr>
          <w:color w:val="auto"/>
        </w:rPr>
        <w:t xml:space="preserve">poni rapidi sono diminuiti del </w:t>
      </w:r>
      <w:r w:rsidRPr="000D67CD">
        <w:rPr>
          <w:color w:val="auto"/>
        </w:rPr>
        <w:t xml:space="preserve">26,8% (-557.465), mentre quelli molecolari </w:t>
      </w:r>
      <w:r>
        <w:rPr>
          <w:color w:val="auto"/>
        </w:rPr>
        <w:t xml:space="preserve">del </w:t>
      </w:r>
      <w:r w:rsidRPr="000D67CD">
        <w:rPr>
          <w:color w:val="auto"/>
        </w:rPr>
        <w:t>10,4% (-52.335) (</w:t>
      </w:r>
      <w:r w:rsidRPr="000D67CD">
        <w:rPr>
          <w:color w:val="auto"/>
          <w:highlight w:val="yellow"/>
        </w:rPr>
        <w:t>figura 5</w:t>
      </w:r>
      <w:r w:rsidRPr="000D67CD">
        <w:rPr>
          <w:color w:val="auto"/>
        </w:rPr>
        <w:t>). La media mobile a 7 giorni del tasso di positività si riduce dal 1</w:t>
      </w:r>
      <w:r>
        <w:rPr>
          <w:color w:val="auto"/>
        </w:rPr>
        <w:t>2</w:t>
      </w:r>
      <w:r w:rsidRPr="000D67CD">
        <w:rPr>
          <w:color w:val="auto"/>
        </w:rPr>
        <w:t>,</w:t>
      </w:r>
      <w:r>
        <w:rPr>
          <w:color w:val="auto"/>
        </w:rPr>
        <w:t>8</w:t>
      </w:r>
      <w:r w:rsidRPr="000D67CD">
        <w:rPr>
          <w:color w:val="auto"/>
        </w:rPr>
        <w:t>% al</w:t>
      </w:r>
      <w:r>
        <w:rPr>
          <w:color w:val="auto"/>
        </w:rPr>
        <w:t xml:space="preserve"> 9,5% per i tamponi molecolari mentre resta stabile al 16</w:t>
      </w:r>
      <w:r w:rsidRPr="000D67CD">
        <w:rPr>
          <w:color w:val="auto"/>
        </w:rPr>
        <w:t>% per gli antigenici rapidi (</w:t>
      </w:r>
      <w:r w:rsidRPr="000D67CD">
        <w:rPr>
          <w:color w:val="auto"/>
          <w:highlight w:val="yellow"/>
        </w:rPr>
        <w:t>figura 6</w:t>
      </w:r>
      <w:r w:rsidRPr="000D67CD">
        <w:rPr>
          <w:color w:val="auto"/>
        </w:rPr>
        <w:t>).</w:t>
      </w:r>
    </w:p>
    <w:p w:rsidR="00EF109A" w:rsidRPr="000D67CD" w:rsidRDefault="00C27708" w:rsidP="00F27F03">
      <w:pPr>
        <w:spacing w:line="276" w:lineRule="auto"/>
        <w:jc w:val="both"/>
        <w:rPr>
          <w:color w:val="auto"/>
        </w:rPr>
      </w:pPr>
      <w:bookmarkStart w:id="1" w:name="_Hlk85025666"/>
      <w:r w:rsidRPr="000D67CD">
        <w:rPr>
          <w:b/>
          <w:color w:val="auto"/>
        </w:rPr>
        <w:t xml:space="preserve">Ospedalizzazioni. </w:t>
      </w:r>
      <w:r w:rsidR="002348FC" w:rsidRPr="000D67CD">
        <w:rPr>
          <w:color w:val="auto"/>
        </w:rPr>
        <w:t>«</w:t>
      </w:r>
      <w:r w:rsidR="003120AF" w:rsidRPr="000D67CD">
        <w:rPr>
          <w:color w:val="auto"/>
        </w:rPr>
        <w:t>Sul fronte degli</w:t>
      </w:r>
      <w:r w:rsidR="00932E57" w:rsidRPr="000D67CD">
        <w:rPr>
          <w:color w:val="auto"/>
        </w:rPr>
        <w:t xml:space="preserve"> </w:t>
      </w:r>
      <w:r w:rsidR="002723FF" w:rsidRPr="000D67CD">
        <w:rPr>
          <w:color w:val="auto"/>
        </w:rPr>
        <w:t>ospedali</w:t>
      </w:r>
      <w:r w:rsidR="00974518" w:rsidRPr="000D67CD">
        <w:rPr>
          <w:color w:val="auto"/>
        </w:rPr>
        <w:t xml:space="preserve"> </w:t>
      </w:r>
      <w:r w:rsidR="00582BAE" w:rsidRPr="000D67CD">
        <w:rPr>
          <w:color w:val="auto"/>
        </w:rPr>
        <w:t xml:space="preserve">– </w:t>
      </w:r>
      <w:r w:rsidR="002348FC" w:rsidRPr="000D67CD">
        <w:rPr>
          <w:color w:val="auto"/>
        </w:rPr>
        <w:t xml:space="preserve">afferma </w:t>
      </w:r>
      <w:r w:rsidR="004222A8" w:rsidRPr="000D67CD">
        <w:rPr>
          <w:color w:val="auto"/>
        </w:rPr>
        <w:t xml:space="preserve">Marco Mosti, Direttore Operativo della Fondazione GIMBE </w:t>
      </w:r>
      <w:r w:rsidR="00B813D5" w:rsidRPr="000D67CD">
        <w:rPr>
          <w:color w:val="auto"/>
        </w:rPr>
        <w:t>–</w:t>
      </w:r>
      <w:r w:rsidR="004D0641" w:rsidRPr="000D67CD">
        <w:rPr>
          <w:color w:val="auto"/>
        </w:rPr>
        <w:t xml:space="preserve"> </w:t>
      </w:r>
      <w:r w:rsidR="004222A8" w:rsidRPr="000D67CD">
        <w:rPr>
          <w:color w:val="auto"/>
        </w:rPr>
        <w:t>il numero</w:t>
      </w:r>
      <w:r w:rsidR="00396D1B" w:rsidRPr="000D67CD">
        <w:rPr>
          <w:color w:val="auto"/>
        </w:rPr>
        <w:t xml:space="preserve"> </w:t>
      </w:r>
      <w:r w:rsidR="004222A8" w:rsidRPr="000D67CD">
        <w:rPr>
          <w:color w:val="auto"/>
        </w:rPr>
        <w:t xml:space="preserve">dei </w:t>
      </w:r>
      <w:r w:rsidR="00894BA6" w:rsidRPr="000D67CD">
        <w:rPr>
          <w:color w:val="auto"/>
        </w:rPr>
        <w:t xml:space="preserve">posti letto occupati da pazienti COVID </w:t>
      </w:r>
      <w:r w:rsidR="000D67CD" w:rsidRPr="000D67CD">
        <w:rPr>
          <w:color w:val="auto"/>
        </w:rPr>
        <w:t>registra una lieve flessione</w:t>
      </w:r>
      <w:r w:rsidR="00FD0B13" w:rsidRPr="000D67CD">
        <w:rPr>
          <w:color w:val="auto"/>
        </w:rPr>
        <w:t xml:space="preserve"> </w:t>
      </w:r>
      <w:r w:rsidR="00297DEB" w:rsidRPr="000D67CD">
        <w:rPr>
          <w:color w:val="auto"/>
        </w:rPr>
        <w:t xml:space="preserve">in </w:t>
      </w:r>
      <w:r w:rsidR="00A51B01" w:rsidRPr="000D67CD">
        <w:rPr>
          <w:color w:val="auto"/>
        </w:rPr>
        <w:t>terapia intensiva</w:t>
      </w:r>
      <w:r w:rsidR="00396D1B" w:rsidRPr="000D67CD">
        <w:rPr>
          <w:color w:val="auto"/>
        </w:rPr>
        <w:t xml:space="preserve"> (</w:t>
      </w:r>
      <w:r w:rsidR="00B43A83" w:rsidRPr="000D67CD">
        <w:rPr>
          <w:color w:val="auto"/>
        </w:rPr>
        <w:t>-</w:t>
      </w:r>
      <w:r w:rsidR="000D67CD" w:rsidRPr="000D67CD">
        <w:rPr>
          <w:color w:val="auto"/>
        </w:rPr>
        <w:t>2</w:t>
      </w:r>
      <w:r w:rsidR="00074E5F" w:rsidRPr="000D67CD">
        <w:rPr>
          <w:color w:val="auto"/>
        </w:rPr>
        <w:t>,</w:t>
      </w:r>
      <w:r w:rsidR="000D67CD" w:rsidRPr="000D67CD">
        <w:rPr>
          <w:color w:val="auto"/>
        </w:rPr>
        <w:t>2</w:t>
      </w:r>
      <w:r w:rsidR="00385142" w:rsidRPr="000D67CD">
        <w:rPr>
          <w:color w:val="auto"/>
        </w:rPr>
        <w:t>%)</w:t>
      </w:r>
      <w:r w:rsidR="00074E5F" w:rsidRPr="000D67CD">
        <w:rPr>
          <w:color w:val="auto"/>
        </w:rPr>
        <w:t xml:space="preserve"> e</w:t>
      </w:r>
      <w:r w:rsidR="000D67CD" w:rsidRPr="000D67CD">
        <w:rPr>
          <w:color w:val="auto"/>
        </w:rPr>
        <w:t xml:space="preserve"> </w:t>
      </w:r>
      <w:r w:rsidR="00347F76">
        <w:rPr>
          <w:color w:val="auto"/>
        </w:rPr>
        <w:t>cala ulteriormente</w:t>
      </w:r>
      <w:r w:rsidR="000D67CD" w:rsidRPr="00310449">
        <w:rPr>
          <w:color w:val="auto"/>
        </w:rPr>
        <w:t xml:space="preserve"> in </w:t>
      </w:r>
      <w:r w:rsidR="00074E5F" w:rsidRPr="00310449">
        <w:rPr>
          <w:color w:val="auto"/>
        </w:rPr>
        <w:t xml:space="preserve">area medica </w:t>
      </w:r>
      <w:r w:rsidR="003F28D2" w:rsidRPr="00310449">
        <w:rPr>
          <w:color w:val="auto"/>
        </w:rPr>
        <w:t>(</w:t>
      </w:r>
      <w:r w:rsidR="00074E5F" w:rsidRPr="00310449">
        <w:rPr>
          <w:color w:val="auto"/>
        </w:rPr>
        <w:t>-</w:t>
      </w:r>
      <w:r w:rsidR="000D67CD" w:rsidRPr="00310449">
        <w:rPr>
          <w:color w:val="auto"/>
        </w:rPr>
        <w:t>11</w:t>
      </w:r>
      <w:r w:rsidR="00074E5F" w:rsidRPr="00310449">
        <w:rPr>
          <w:color w:val="auto"/>
        </w:rPr>
        <w:t>,</w:t>
      </w:r>
      <w:r w:rsidR="000D67CD" w:rsidRPr="00310449">
        <w:rPr>
          <w:color w:val="auto"/>
        </w:rPr>
        <w:t>5</w:t>
      </w:r>
      <w:r w:rsidR="002B0A30" w:rsidRPr="00310449">
        <w:rPr>
          <w:color w:val="auto"/>
        </w:rPr>
        <w:t>%)</w:t>
      </w:r>
      <w:r w:rsidR="00A51B01" w:rsidRPr="00310449">
        <w:rPr>
          <w:color w:val="auto"/>
        </w:rPr>
        <w:t>»</w:t>
      </w:r>
      <w:r w:rsidR="000A422E" w:rsidRPr="00310449">
        <w:rPr>
          <w:color w:val="auto"/>
        </w:rPr>
        <w:t xml:space="preserve">. </w:t>
      </w:r>
      <w:r w:rsidR="008751B7" w:rsidRPr="00310449">
        <w:rPr>
          <w:color w:val="auto"/>
        </w:rPr>
        <w:t xml:space="preserve">In </w:t>
      </w:r>
      <w:r w:rsidR="00E70AB7" w:rsidRPr="00310449">
        <w:rPr>
          <w:color w:val="auto"/>
        </w:rPr>
        <w:t>dettaglio</w:t>
      </w:r>
      <w:r w:rsidR="008751B7" w:rsidRPr="00310449">
        <w:rPr>
          <w:color w:val="auto"/>
        </w:rPr>
        <w:t xml:space="preserve"> in area critica</w:t>
      </w:r>
      <w:r w:rsidR="000C4285" w:rsidRPr="00310449">
        <w:rPr>
          <w:color w:val="auto"/>
        </w:rPr>
        <w:t xml:space="preserve"> </w:t>
      </w:r>
      <w:r w:rsidR="00557ACD" w:rsidRPr="00310449">
        <w:rPr>
          <w:color w:val="auto"/>
        </w:rPr>
        <w:t xml:space="preserve">al </w:t>
      </w:r>
      <w:r w:rsidR="000D67CD" w:rsidRPr="00310449">
        <w:rPr>
          <w:color w:val="auto"/>
        </w:rPr>
        <w:t xml:space="preserve">10 </w:t>
      </w:r>
      <w:r w:rsidR="00074E5F" w:rsidRPr="00310449">
        <w:rPr>
          <w:color w:val="auto"/>
        </w:rPr>
        <w:t>maggio</w:t>
      </w:r>
      <w:r w:rsidR="003E1BA0" w:rsidRPr="00310449">
        <w:rPr>
          <w:color w:val="auto"/>
        </w:rPr>
        <w:t xml:space="preserve"> </w:t>
      </w:r>
      <w:r w:rsidR="00432864" w:rsidRPr="00310449">
        <w:rPr>
          <w:color w:val="auto"/>
        </w:rPr>
        <w:t xml:space="preserve">si registrano </w:t>
      </w:r>
      <w:r w:rsidR="000D67CD" w:rsidRPr="00310449">
        <w:rPr>
          <w:color w:val="auto"/>
        </w:rPr>
        <w:t>358</w:t>
      </w:r>
      <w:r w:rsidR="008751B7" w:rsidRPr="00310449">
        <w:rPr>
          <w:color w:val="auto"/>
        </w:rPr>
        <w:t xml:space="preserve"> </w:t>
      </w:r>
      <w:r w:rsidR="004D0641" w:rsidRPr="00310449">
        <w:rPr>
          <w:color w:val="auto"/>
        </w:rPr>
        <w:t>posti letto occupati</w:t>
      </w:r>
      <w:r w:rsidR="008751B7" w:rsidRPr="00310449">
        <w:rPr>
          <w:color w:val="auto"/>
        </w:rPr>
        <w:t xml:space="preserve">; in area medica, </w:t>
      </w:r>
      <w:r w:rsidR="00F27F03" w:rsidRPr="00310449">
        <w:rPr>
          <w:color w:val="auto"/>
        </w:rPr>
        <w:t xml:space="preserve">invece, dopo il picco di 10.328 </w:t>
      </w:r>
      <w:r w:rsidR="00811762" w:rsidRPr="00310449">
        <w:rPr>
          <w:color w:val="auto"/>
        </w:rPr>
        <w:t xml:space="preserve">registrato </w:t>
      </w:r>
      <w:r w:rsidR="00F27F03" w:rsidRPr="00310449">
        <w:rPr>
          <w:color w:val="auto"/>
        </w:rPr>
        <w:t xml:space="preserve">il 26 aprile, i posti letto COVID sono scesi a quota </w:t>
      </w:r>
      <w:r w:rsidR="000D67CD" w:rsidRPr="00310449">
        <w:rPr>
          <w:color w:val="auto"/>
        </w:rPr>
        <w:t xml:space="preserve">8.579 </w:t>
      </w:r>
      <w:r w:rsidR="00F27F03" w:rsidRPr="00310449">
        <w:rPr>
          <w:color w:val="auto"/>
        </w:rPr>
        <w:t xml:space="preserve">il </w:t>
      </w:r>
      <w:r w:rsidR="000D67CD" w:rsidRPr="00310449">
        <w:rPr>
          <w:color w:val="auto"/>
        </w:rPr>
        <w:t>10</w:t>
      </w:r>
      <w:r w:rsidR="00F27F03" w:rsidRPr="00310449">
        <w:rPr>
          <w:color w:val="auto"/>
        </w:rPr>
        <w:t xml:space="preserve"> maggio </w:t>
      </w:r>
      <w:r w:rsidR="008751B7" w:rsidRPr="00310449">
        <w:rPr>
          <w:color w:val="auto"/>
        </w:rPr>
        <w:t>(</w:t>
      </w:r>
      <w:r w:rsidR="008751B7" w:rsidRPr="00310449">
        <w:rPr>
          <w:color w:val="auto"/>
          <w:highlight w:val="yellow"/>
        </w:rPr>
        <w:t>figura 7</w:t>
      </w:r>
      <w:r w:rsidR="008751B7" w:rsidRPr="00310449">
        <w:rPr>
          <w:color w:val="auto"/>
        </w:rPr>
        <w:t xml:space="preserve">). </w:t>
      </w:r>
      <w:r w:rsidR="00913182" w:rsidRPr="00310449">
        <w:rPr>
          <w:color w:val="auto"/>
        </w:rPr>
        <w:t xml:space="preserve">Al </w:t>
      </w:r>
      <w:r w:rsidR="000D67CD" w:rsidRPr="00310449">
        <w:rPr>
          <w:color w:val="auto"/>
        </w:rPr>
        <w:t>10</w:t>
      </w:r>
      <w:r w:rsidR="00074E5F" w:rsidRPr="00310449">
        <w:rPr>
          <w:color w:val="auto"/>
        </w:rPr>
        <w:t xml:space="preserve"> maggio</w:t>
      </w:r>
      <w:r w:rsidR="00894BA6" w:rsidRPr="00310449">
        <w:rPr>
          <w:color w:val="auto"/>
        </w:rPr>
        <w:t xml:space="preserve"> </w:t>
      </w:r>
      <w:r w:rsidR="002348FC" w:rsidRPr="00310449">
        <w:rPr>
          <w:color w:val="auto"/>
        </w:rPr>
        <w:t xml:space="preserve">il tasso </w:t>
      </w:r>
      <w:r w:rsidR="00894BA6" w:rsidRPr="00310449">
        <w:rPr>
          <w:color w:val="auto"/>
        </w:rPr>
        <w:t xml:space="preserve">nazionale </w:t>
      </w:r>
      <w:r w:rsidR="002348FC" w:rsidRPr="00310449">
        <w:rPr>
          <w:color w:val="auto"/>
        </w:rPr>
        <w:t xml:space="preserve">di occupazione </w:t>
      </w:r>
      <w:r w:rsidR="004C18D7" w:rsidRPr="00310449">
        <w:rPr>
          <w:color w:val="auto"/>
        </w:rPr>
        <w:t xml:space="preserve">da parte di pazienti COVID </w:t>
      </w:r>
      <w:r w:rsidR="00074E5F" w:rsidRPr="00310449">
        <w:rPr>
          <w:color w:val="auto"/>
        </w:rPr>
        <w:t>è del 1</w:t>
      </w:r>
      <w:r w:rsidR="00310449" w:rsidRPr="00310449">
        <w:rPr>
          <w:color w:val="auto"/>
        </w:rPr>
        <w:t>3,3</w:t>
      </w:r>
      <w:r w:rsidR="002E37EA" w:rsidRPr="00310449">
        <w:rPr>
          <w:color w:val="auto"/>
        </w:rPr>
        <w:t>% in area medica e</w:t>
      </w:r>
      <w:r w:rsidR="000D67CD" w:rsidRPr="00310449">
        <w:rPr>
          <w:color w:val="auto"/>
        </w:rPr>
        <w:t xml:space="preserve"> del</w:t>
      </w:r>
      <w:r w:rsidR="002E37EA" w:rsidRPr="00310449">
        <w:rPr>
          <w:color w:val="auto"/>
        </w:rPr>
        <w:t xml:space="preserve"> </w:t>
      </w:r>
      <w:r w:rsidR="00074E5F" w:rsidRPr="00310449">
        <w:rPr>
          <w:color w:val="auto"/>
        </w:rPr>
        <w:t>3,</w:t>
      </w:r>
      <w:r w:rsidR="00310449" w:rsidRPr="00310449">
        <w:rPr>
          <w:color w:val="auto"/>
        </w:rPr>
        <w:t>8</w:t>
      </w:r>
      <w:r w:rsidR="002348FC" w:rsidRPr="00310449">
        <w:rPr>
          <w:color w:val="auto"/>
        </w:rPr>
        <w:t>% in area critica</w:t>
      </w:r>
      <w:bookmarkEnd w:id="1"/>
      <w:r w:rsidR="00C97388" w:rsidRPr="00310449">
        <w:rPr>
          <w:color w:val="auto"/>
        </w:rPr>
        <w:t>.</w:t>
      </w:r>
      <w:r w:rsidR="00341691" w:rsidRPr="00310449">
        <w:rPr>
          <w:color w:val="auto"/>
        </w:rPr>
        <w:t xml:space="preserve"> </w:t>
      </w:r>
      <w:r w:rsidR="00C26FE5" w:rsidRPr="00310449">
        <w:rPr>
          <w:color w:val="auto"/>
        </w:rPr>
        <w:t>1</w:t>
      </w:r>
      <w:r w:rsidR="00310449" w:rsidRPr="00310449">
        <w:rPr>
          <w:color w:val="auto"/>
        </w:rPr>
        <w:t>0</w:t>
      </w:r>
      <w:r w:rsidR="00C26FE5" w:rsidRPr="00310449">
        <w:rPr>
          <w:color w:val="auto"/>
        </w:rPr>
        <w:t xml:space="preserve"> Regioni </w:t>
      </w:r>
      <w:r w:rsidR="00341691" w:rsidRPr="00310449">
        <w:rPr>
          <w:color w:val="auto"/>
        </w:rPr>
        <w:t>superano la soglia del 15% in area medica</w:t>
      </w:r>
      <w:r w:rsidR="00B80EAA" w:rsidRPr="00310449">
        <w:rPr>
          <w:color w:val="auto"/>
        </w:rPr>
        <w:t>,</w:t>
      </w:r>
      <w:r w:rsidR="00913182" w:rsidRPr="00310449">
        <w:rPr>
          <w:color w:val="auto"/>
        </w:rPr>
        <w:t xml:space="preserve"> con </w:t>
      </w:r>
      <w:r w:rsidR="00FB7CD8" w:rsidRPr="00310449">
        <w:rPr>
          <w:color w:val="auto"/>
        </w:rPr>
        <w:t>l’</w:t>
      </w:r>
      <w:r w:rsidR="00B43A83" w:rsidRPr="00310449">
        <w:rPr>
          <w:color w:val="auto"/>
        </w:rPr>
        <w:t>Umbria</w:t>
      </w:r>
      <w:r w:rsidR="003874D0" w:rsidRPr="00310449">
        <w:rPr>
          <w:color w:val="auto"/>
        </w:rPr>
        <w:t xml:space="preserve"> che </w:t>
      </w:r>
      <w:r w:rsidR="004D0641" w:rsidRPr="00310449">
        <w:rPr>
          <w:color w:val="auto"/>
        </w:rPr>
        <w:t>raggiunge</w:t>
      </w:r>
      <w:r w:rsidR="00A16713" w:rsidRPr="00310449">
        <w:rPr>
          <w:color w:val="auto"/>
        </w:rPr>
        <w:t xml:space="preserve"> </w:t>
      </w:r>
      <w:r w:rsidR="004D0641" w:rsidRPr="00310449">
        <w:rPr>
          <w:color w:val="auto"/>
        </w:rPr>
        <w:t xml:space="preserve">il </w:t>
      </w:r>
      <w:r w:rsidR="0067561F" w:rsidRPr="00310449">
        <w:rPr>
          <w:color w:val="auto"/>
        </w:rPr>
        <w:t>3</w:t>
      </w:r>
      <w:r w:rsidR="00310449" w:rsidRPr="00310449">
        <w:rPr>
          <w:color w:val="auto"/>
        </w:rPr>
        <w:t>1</w:t>
      </w:r>
      <w:r w:rsidR="00C26FE5" w:rsidRPr="00310449">
        <w:rPr>
          <w:color w:val="auto"/>
        </w:rPr>
        <w:t>,</w:t>
      </w:r>
      <w:r w:rsidR="00310449" w:rsidRPr="00310449">
        <w:rPr>
          <w:color w:val="auto"/>
        </w:rPr>
        <w:t>4</w:t>
      </w:r>
      <w:r w:rsidR="00913182" w:rsidRPr="00310449">
        <w:rPr>
          <w:color w:val="auto"/>
        </w:rPr>
        <w:t>%</w:t>
      </w:r>
      <w:r w:rsidR="00E70AB7" w:rsidRPr="00310449">
        <w:rPr>
          <w:color w:val="auto"/>
        </w:rPr>
        <w:t xml:space="preserve">, </w:t>
      </w:r>
      <w:r w:rsidR="00CD3234" w:rsidRPr="00310449">
        <w:rPr>
          <w:color w:val="auto"/>
        </w:rPr>
        <w:t>mentre tutte le Regioni si collocano sotto la</w:t>
      </w:r>
      <w:r w:rsidR="00341691" w:rsidRPr="00310449">
        <w:rPr>
          <w:color w:val="auto"/>
        </w:rPr>
        <w:t xml:space="preserve"> soglia del 10% </w:t>
      </w:r>
      <w:r w:rsidR="000C4285" w:rsidRPr="00310449">
        <w:rPr>
          <w:color w:val="auto"/>
        </w:rPr>
        <w:t>per l’area critica</w:t>
      </w:r>
      <w:r w:rsidR="007F1FA7" w:rsidRPr="00310449">
        <w:rPr>
          <w:color w:val="auto"/>
        </w:rPr>
        <w:t xml:space="preserve"> </w:t>
      </w:r>
      <w:r w:rsidR="004B6DC2" w:rsidRPr="00310449">
        <w:rPr>
          <w:color w:val="auto"/>
        </w:rPr>
        <w:t>(</w:t>
      </w:r>
      <w:r w:rsidR="004B6DC2" w:rsidRPr="00310449">
        <w:rPr>
          <w:color w:val="auto"/>
          <w:highlight w:val="yellow"/>
        </w:rPr>
        <w:t xml:space="preserve">figura </w:t>
      </w:r>
      <w:r w:rsidR="008751B7" w:rsidRPr="00310449">
        <w:rPr>
          <w:color w:val="auto"/>
          <w:highlight w:val="yellow"/>
        </w:rPr>
        <w:t>8</w:t>
      </w:r>
      <w:r w:rsidR="004B6DC2" w:rsidRPr="00310449">
        <w:rPr>
          <w:color w:val="auto"/>
        </w:rPr>
        <w:t>)</w:t>
      </w:r>
      <w:r w:rsidR="00341691" w:rsidRPr="00310449">
        <w:rPr>
          <w:color w:val="auto"/>
        </w:rPr>
        <w:t>.</w:t>
      </w:r>
      <w:r w:rsidR="008D2843" w:rsidRPr="00310449">
        <w:rPr>
          <w:color w:val="auto"/>
        </w:rPr>
        <w:t xml:space="preserve"> </w:t>
      </w:r>
      <w:r w:rsidR="00BD67DE" w:rsidRPr="00310449">
        <w:rPr>
          <w:color w:val="auto"/>
        </w:rPr>
        <w:t>«</w:t>
      </w:r>
      <w:r w:rsidR="00347F76">
        <w:rPr>
          <w:color w:val="auto"/>
        </w:rPr>
        <w:t>Torna a scendere i</w:t>
      </w:r>
      <w:r w:rsidR="00D1612B" w:rsidRPr="00310449">
        <w:rPr>
          <w:color w:val="auto"/>
        </w:rPr>
        <w:t xml:space="preserve">l numero </w:t>
      </w:r>
      <w:r w:rsidR="00347F76">
        <w:rPr>
          <w:color w:val="auto"/>
        </w:rPr>
        <w:t>di</w:t>
      </w:r>
      <w:r w:rsidR="00347F76" w:rsidRPr="00310449">
        <w:rPr>
          <w:color w:val="auto"/>
        </w:rPr>
        <w:t xml:space="preserve"> </w:t>
      </w:r>
      <w:r w:rsidR="00D1612B" w:rsidRPr="00310449">
        <w:rPr>
          <w:color w:val="auto"/>
        </w:rPr>
        <w:t xml:space="preserve">ingressi </w:t>
      </w:r>
      <w:r w:rsidR="00D1612B" w:rsidRPr="000D67CD">
        <w:rPr>
          <w:color w:val="auto"/>
        </w:rPr>
        <w:t xml:space="preserve">giornalieri in terapia intensiva – </w:t>
      </w:r>
      <w:r w:rsidR="00451468" w:rsidRPr="000D67CD">
        <w:rPr>
          <w:color w:val="auto"/>
        </w:rPr>
        <w:t>puntualizza Mosti</w:t>
      </w:r>
      <w:r w:rsidR="00931C11" w:rsidRPr="000D67CD">
        <w:rPr>
          <w:color w:val="auto"/>
        </w:rPr>
        <w:t xml:space="preserve"> </w:t>
      </w:r>
      <w:r w:rsidR="00451468" w:rsidRPr="000D67CD">
        <w:rPr>
          <w:color w:val="auto"/>
        </w:rPr>
        <w:t>–</w:t>
      </w:r>
      <w:r w:rsidR="00CA4A08">
        <w:rPr>
          <w:color w:val="auto"/>
        </w:rPr>
        <w:t xml:space="preserve"> </w:t>
      </w:r>
      <w:r w:rsidR="000D67CD">
        <w:rPr>
          <w:color w:val="auto"/>
        </w:rPr>
        <w:t xml:space="preserve">con </w:t>
      </w:r>
      <w:r w:rsidR="00CD3234" w:rsidRPr="000D67CD">
        <w:rPr>
          <w:color w:val="auto"/>
        </w:rPr>
        <w:t xml:space="preserve">una </w:t>
      </w:r>
      <w:r w:rsidR="00BD67DE" w:rsidRPr="000D67CD">
        <w:rPr>
          <w:color w:val="auto"/>
        </w:rPr>
        <w:t xml:space="preserve">media mobile a 7 giorni </w:t>
      </w:r>
      <w:r w:rsidR="00074E5F" w:rsidRPr="000D67CD">
        <w:rPr>
          <w:color w:val="auto"/>
        </w:rPr>
        <w:t xml:space="preserve">di </w:t>
      </w:r>
      <w:r w:rsidR="00557ACD" w:rsidRPr="000D67CD">
        <w:rPr>
          <w:color w:val="auto"/>
        </w:rPr>
        <w:t>3</w:t>
      </w:r>
      <w:r w:rsidR="000D67CD">
        <w:rPr>
          <w:color w:val="auto"/>
        </w:rPr>
        <w:t xml:space="preserve">3 </w:t>
      </w:r>
      <w:r w:rsidR="00547F28" w:rsidRPr="000D67CD">
        <w:rPr>
          <w:color w:val="auto"/>
        </w:rPr>
        <w:t>ingressi/die</w:t>
      </w:r>
      <w:r w:rsidR="000D67CD">
        <w:rPr>
          <w:color w:val="auto"/>
        </w:rPr>
        <w:t xml:space="preserve"> rispetto ai 37 della settimana precedente</w:t>
      </w:r>
      <w:r w:rsidR="00D42AAE" w:rsidRPr="000D67CD">
        <w:rPr>
          <w:color w:val="auto"/>
        </w:rPr>
        <w:t>»</w:t>
      </w:r>
      <w:r w:rsidR="00BD67DE" w:rsidRPr="000D67CD">
        <w:rPr>
          <w:color w:val="auto"/>
        </w:rPr>
        <w:t xml:space="preserve"> (</w:t>
      </w:r>
      <w:r w:rsidR="00BD67DE" w:rsidRPr="000D67CD">
        <w:rPr>
          <w:color w:val="auto"/>
          <w:highlight w:val="yellow"/>
        </w:rPr>
        <w:t>figura</w:t>
      </w:r>
      <w:r w:rsidR="00C91686" w:rsidRPr="000D67CD">
        <w:rPr>
          <w:color w:val="auto"/>
          <w:highlight w:val="yellow"/>
        </w:rPr>
        <w:t xml:space="preserve"> </w:t>
      </w:r>
      <w:r w:rsidR="008751B7" w:rsidRPr="000D67CD">
        <w:rPr>
          <w:color w:val="auto"/>
          <w:highlight w:val="yellow"/>
        </w:rPr>
        <w:t>9</w:t>
      </w:r>
      <w:r w:rsidR="00BD67DE" w:rsidRPr="000D67CD">
        <w:rPr>
          <w:color w:val="auto"/>
        </w:rPr>
        <w:t>).</w:t>
      </w:r>
    </w:p>
    <w:p w:rsidR="000D67CD" w:rsidRPr="000D67CD" w:rsidRDefault="000D67CD" w:rsidP="00927630">
      <w:pPr>
        <w:jc w:val="both"/>
        <w:rPr>
          <w:color w:val="auto"/>
        </w:rPr>
      </w:pPr>
      <w:r w:rsidRPr="000D67CD">
        <w:rPr>
          <w:b/>
          <w:color w:val="auto"/>
        </w:rPr>
        <w:t>Decessi</w:t>
      </w:r>
      <w:r w:rsidRPr="000D67CD">
        <w:rPr>
          <w:color w:val="auto"/>
        </w:rPr>
        <w:t>. Diminuiscono ancora i decessi: 842 negli ultimi 7 giorni (di cui 60 riferiti a periodi precedenti), con una media di 120 al giorno rispetto ai 137 della settimana precedente.</w:t>
      </w:r>
    </w:p>
    <w:p w:rsidR="00F54E5C" w:rsidRPr="00F54E5C" w:rsidRDefault="00F54E5C" w:rsidP="001B0254">
      <w:pPr>
        <w:jc w:val="both"/>
        <w:rPr>
          <w:color w:val="auto"/>
        </w:rPr>
      </w:pPr>
      <w:r w:rsidRPr="00F54E5C">
        <w:rPr>
          <w:b/>
          <w:color w:val="auto"/>
        </w:rPr>
        <w:t>Vaccini: somministrazioni.</w:t>
      </w:r>
      <w:r w:rsidRPr="00F54E5C">
        <w:rPr>
          <w:color w:val="auto"/>
        </w:rPr>
        <w:t xml:space="preserve"> Al</w:t>
      </w:r>
      <w:r>
        <w:rPr>
          <w:color w:val="auto"/>
        </w:rPr>
        <w:t>l’</w:t>
      </w:r>
      <w:r w:rsidRPr="00F54E5C">
        <w:rPr>
          <w:color w:val="auto"/>
        </w:rPr>
        <w:t xml:space="preserve">11 maggio (aggiornamento ore 06.22) </w:t>
      </w:r>
      <w:r>
        <w:rPr>
          <w:color w:val="auto"/>
        </w:rPr>
        <w:t>l’</w:t>
      </w:r>
      <w:r w:rsidRPr="00F54E5C">
        <w:rPr>
          <w:color w:val="auto"/>
        </w:rPr>
        <w:t xml:space="preserve">88,1% della platea (n. 50.770.168) ha ricevuto almeno una dose di vaccino (+5.975 rispetto alla settimana precedente) e </w:t>
      </w:r>
      <w:r>
        <w:rPr>
          <w:color w:val="auto"/>
        </w:rPr>
        <w:t>l’</w:t>
      </w:r>
      <w:r w:rsidRPr="00F54E5C">
        <w:rPr>
          <w:color w:val="auto"/>
        </w:rPr>
        <w:t>86,5% (n. 49.872.980) ha completato il ciclo vaccinale (+11.290 rispetto alla settimana precedente).</w:t>
      </w:r>
    </w:p>
    <w:p w:rsidR="00F54E5C" w:rsidRPr="00F54E5C" w:rsidRDefault="00F54E5C" w:rsidP="00124C08">
      <w:pPr>
        <w:spacing w:line="276" w:lineRule="auto"/>
        <w:jc w:val="both"/>
        <w:rPr>
          <w:rFonts w:cs="Calibri"/>
          <w:color w:val="auto"/>
        </w:rPr>
      </w:pPr>
      <w:r w:rsidRPr="00F54E5C">
        <w:rPr>
          <w:rFonts w:cs="Calibri"/>
          <w:b/>
          <w:color w:val="auto"/>
        </w:rPr>
        <w:t>Vaccini: nuovi vaccinati.</w:t>
      </w:r>
      <w:r w:rsidRPr="00F54E5C">
        <w:rPr>
          <w:rFonts w:cs="Calibri"/>
          <w:color w:val="auto"/>
        </w:rPr>
        <w:t xml:space="preserve"> Nella settimana 4-10 maggio </w:t>
      </w:r>
      <w:r>
        <w:rPr>
          <w:rFonts w:cs="Calibri"/>
          <w:color w:val="auto"/>
        </w:rPr>
        <w:t>si riduce ancora il numero d</w:t>
      </w:r>
      <w:r w:rsidRPr="00F54E5C">
        <w:rPr>
          <w:rFonts w:cs="Calibri"/>
          <w:color w:val="auto"/>
        </w:rPr>
        <w:t>i nuovi vaccinati: 5.083 rispetto ai 6.113 della settimana precedente (-16,8%). Di questi il 37% è rappresentato dalla fascia 5-11: 1.881, con una riduzio</w:t>
      </w:r>
      <w:r>
        <w:rPr>
          <w:rFonts w:cs="Calibri"/>
          <w:color w:val="auto"/>
        </w:rPr>
        <w:t xml:space="preserve">ne del </w:t>
      </w:r>
      <w:r w:rsidRPr="00F54E5C">
        <w:rPr>
          <w:rFonts w:cs="Calibri"/>
          <w:color w:val="auto"/>
        </w:rPr>
        <w:t>9,8% rispetto alla settimana precedente.</w:t>
      </w:r>
      <w:r>
        <w:rPr>
          <w:rFonts w:cs="Calibri"/>
          <w:color w:val="auto"/>
        </w:rPr>
        <w:t xml:space="preserve"> </w:t>
      </w:r>
      <w:r w:rsidR="00347F76">
        <w:rPr>
          <w:rFonts w:cs="Calibri"/>
          <w:color w:val="auto"/>
        </w:rPr>
        <w:t xml:space="preserve">Continua a scendere </w:t>
      </w:r>
      <w:r w:rsidRPr="00F54E5C">
        <w:rPr>
          <w:rFonts w:cs="Calibri"/>
          <w:color w:val="auto"/>
        </w:rPr>
        <w:t xml:space="preserve">tra gli over 50, più a rischio di malattia grave, </w:t>
      </w:r>
      <w:r w:rsidR="00347F76">
        <w:rPr>
          <w:rFonts w:cs="Calibri"/>
          <w:color w:val="auto"/>
        </w:rPr>
        <w:t>il</w:t>
      </w:r>
      <w:r w:rsidR="00347F76" w:rsidRPr="00F54E5C">
        <w:rPr>
          <w:rFonts w:cs="Calibri"/>
          <w:color w:val="auto"/>
        </w:rPr>
        <w:t xml:space="preserve"> </w:t>
      </w:r>
      <w:r w:rsidRPr="00F54E5C">
        <w:rPr>
          <w:rFonts w:cs="Calibri"/>
          <w:color w:val="auto"/>
        </w:rPr>
        <w:t>numero di nuovi vaccinati che si attesta a quota 1.268 (-25,4% rispetto alla settimana precedente) (</w:t>
      </w:r>
      <w:r w:rsidRPr="00F54E5C">
        <w:rPr>
          <w:rFonts w:cs="Calibri"/>
          <w:color w:val="auto"/>
          <w:highlight w:val="yellow"/>
        </w:rPr>
        <w:t>figura 10</w:t>
      </w:r>
      <w:r w:rsidRPr="00F54E5C">
        <w:rPr>
          <w:rFonts w:cs="Calibri"/>
          <w:color w:val="auto"/>
        </w:rPr>
        <w:t>).</w:t>
      </w:r>
    </w:p>
    <w:p w:rsidR="00F54E5C" w:rsidRPr="00524CDB" w:rsidRDefault="00F54E5C" w:rsidP="00F54E5C">
      <w:pPr>
        <w:spacing w:line="276" w:lineRule="auto"/>
        <w:jc w:val="both"/>
        <w:rPr>
          <w:rFonts w:eastAsia="Calibri" w:cs="Calibri"/>
          <w:iCs/>
          <w:noProof/>
          <w:color w:val="auto"/>
          <w:u w:color="0563C1"/>
        </w:rPr>
      </w:pPr>
      <w:r w:rsidRPr="00524CDB">
        <w:rPr>
          <w:rFonts w:eastAsia="Calibri" w:cs="Calibri"/>
          <w:b/>
          <w:iCs/>
          <w:noProof/>
          <w:color w:val="auto"/>
          <w:u w:color="0563C1"/>
        </w:rPr>
        <w:t>Vaccini: persone non vaccinate.</w:t>
      </w:r>
      <w:r w:rsidRPr="00524CDB">
        <w:rPr>
          <w:rFonts w:eastAsia="Calibri" w:cs="Calibri"/>
          <w:iCs/>
          <w:noProof/>
          <w:color w:val="auto"/>
          <w:u w:color="0563C1"/>
        </w:rPr>
        <w:t xml:space="preserve"> All’11 maggio (aggiornamento ore 06.22) sono 6,88 milioni le persone di età superiore a 5 anni che non hanno ricevuto nemmeno una dose di vaccino (</w:t>
      </w:r>
      <w:r w:rsidRPr="00524CDB">
        <w:rPr>
          <w:rFonts w:eastAsia="Calibri" w:cs="Calibri"/>
          <w:iCs/>
          <w:noProof/>
          <w:color w:val="auto"/>
          <w:highlight w:val="yellow"/>
          <w:u w:color="0563C1"/>
        </w:rPr>
        <w:t>figure 11 e 12</w:t>
      </w:r>
      <w:r w:rsidRPr="00524CDB">
        <w:rPr>
          <w:rFonts w:eastAsia="Calibri" w:cs="Calibri"/>
          <w:iCs/>
          <w:noProof/>
          <w:color w:val="auto"/>
          <w:u w:color="0563C1"/>
        </w:rPr>
        <w:t>), di cui:</w:t>
      </w:r>
    </w:p>
    <w:p w:rsidR="00F54E5C" w:rsidRPr="00524CDB" w:rsidRDefault="00F54E5C" w:rsidP="00F54E5C">
      <w:pPr>
        <w:pStyle w:val="Paragrafoelenco"/>
        <w:numPr>
          <w:ilvl w:val="0"/>
          <w:numId w:val="10"/>
        </w:numPr>
        <w:spacing w:after="0" w:line="276" w:lineRule="auto"/>
        <w:ind w:left="357" w:hanging="357"/>
        <w:jc w:val="both"/>
        <w:rPr>
          <w:rFonts w:eastAsia="Calibri" w:cs="Calibri"/>
          <w:iCs/>
          <w:noProof/>
          <w:color w:val="auto"/>
          <w:u w:color="0563C1"/>
        </w:rPr>
      </w:pPr>
      <w:r w:rsidRPr="00524CDB">
        <w:rPr>
          <w:rFonts w:eastAsia="Calibri" w:cs="Calibri"/>
          <w:iCs/>
          <w:noProof/>
          <w:color w:val="auto"/>
          <w:u w:color="0563C1"/>
        </w:rPr>
        <w:t>4,06 milioni attualmente vaccinabili, pari al 7% della platea con nette differenze regionali: dal 4,1% della Provincia Autonoma di Trento al 10,3% della Calabria;</w:t>
      </w:r>
    </w:p>
    <w:p w:rsidR="00F54E5C" w:rsidRPr="00524CDB" w:rsidRDefault="00F54E5C" w:rsidP="00F54E5C">
      <w:pPr>
        <w:pStyle w:val="Paragrafoelenco"/>
        <w:numPr>
          <w:ilvl w:val="0"/>
          <w:numId w:val="10"/>
        </w:numPr>
        <w:spacing w:line="276" w:lineRule="auto"/>
        <w:jc w:val="both"/>
        <w:rPr>
          <w:rFonts w:eastAsia="Calibri" w:cs="Calibri"/>
          <w:iCs/>
          <w:noProof/>
          <w:color w:val="auto"/>
          <w:u w:color="0563C1"/>
        </w:rPr>
      </w:pPr>
      <w:r w:rsidRPr="00524CDB">
        <w:rPr>
          <w:rFonts w:eastAsia="Calibri" w:cs="Calibri"/>
          <w:iCs/>
          <w:noProof/>
          <w:color w:val="auto"/>
          <w:u w:color="0563C1"/>
        </w:rPr>
        <w:t>2,82 milioni temporaneamente protette in quanto guarite da COVID-19 da meno di 180 giorni, pari al 4,9% della platea con nette differenze regionali: dal 2,8% del Molise al 10,7% della Provincia Autonoma di Bolzano.</w:t>
      </w:r>
    </w:p>
    <w:p w:rsidR="00524CDB" w:rsidRPr="00524CDB" w:rsidRDefault="00524CDB"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524CDB">
        <w:rPr>
          <w:b/>
          <w:color w:val="auto"/>
        </w:rPr>
        <w:t>Vaccini: fascia 5-11 anni.</w:t>
      </w:r>
      <w:r w:rsidRPr="00524CDB">
        <w:rPr>
          <w:color w:val="auto"/>
        </w:rPr>
        <w:t xml:space="preserve"> Al</w:t>
      </w:r>
      <w:r>
        <w:rPr>
          <w:color w:val="auto"/>
        </w:rPr>
        <w:t>l’</w:t>
      </w:r>
      <w:r w:rsidRPr="00524CDB">
        <w:rPr>
          <w:color w:val="auto"/>
        </w:rPr>
        <w:t>11 maggio (aggiornamento ore 06.22) nella fascia 5-11 anni sono state somministrate 2.568.761 dosi: 1.387.000 hanno ricevuto almeno 1 dose di vaccino (di cui 1.259.217 hanno completato il ciclo vaccinale), con un tasso di copertura nazionale al 37,9% con nette differenze regionali</w:t>
      </w:r>
      <w:r w:rsidR="00FD42BE">
        <w:rPr>
          <w:color w:val="auto"/>
        </w:rPr>
        <w:t xml:space="preserve"> (</w:t>
      </w:r>
      <w:r w:rsidRPr="00524CDB">
        <w:rPr>
          <w:color w:val="auto"/>
        </w:rPr>
        <w:t xml:space="preserve">dal 20,6% </w:t>
      </w:r>
      <w:r w:rsidRPr="00524CDB">
        <w:rPr>
          <w:rFonts w:eastAsia="Calibri" w:cs="Calibri"/>
          <w:iCs/>
          <w:noProof/>
          <w:color w:val="auto"/>
          <w:u w:color="0563C1"/>
        </w:rPr>
        <w:t>della Provincia Autonoma di</w:t>
      </w:r>
      <w:r w:rsidRPr="00524CDB">
        <w:rPr>
          <w:color w:val="auto"/>
        </w:rPr>
        <w:t xml:space="preserve"> Bolzano al 53,7% della Puglia</w:t>
      </w:r>
      <w:r w:rsidR="00FD42BE">
        <w:rPr>
          <w:color w:val="auto"/>
        </w:rPr>
        <w:t>)</w:t>
      </w:r>
      <w:r w:rsidRPr="00524CDB">
        <w:rPr>
          <w:color w:val="auto"/>
        </w:rPr>
        <w:t xml:space="preserve"> (</w:t>
      </w:r>
      <w:r w:rsidRPr="00524CDB">
        <w:rPr>
          <w:color w:val="auto"/>
          <w:highlight w:val="yellow"/>
        </w:rPr>
        <w:t>figura 13</w:t>
      </w:r>
      <w:r w:rsidRPr="00524CDB">
        <w:rPr>
          <w:color w:val="auto"/>
        </w:rPr>
        <w:t>).</w:t>
      </w:r>
    </w:p>
    <w:p w:rsid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524CDB">
        <w:rPr>
          <w:b/>
          <w:color w:val="auto"/>
        </w:rPr>
        <w:t xml:space="preserve">Vaccini: terza dose. </w:t>
      </w:r>
      <w:r w:rsidRPr="00524CDB">
        <w:rPr>
          <w:color w:val="auto"/>
        </w:rPr>
        <w:t>Al</w:t>
      </w:r>
      <w:r>
        <w:rPr>
          <w:color w:val="auto"/>
        </w:rPr>
        <w:t>l’</w:t>
      </w:r>
      <w:r w:rsidRPr="00524CDB">
        <w:rPr>
          <w:color w:val="auto"/>
        </w:rPr>
        <w:t xml:space="preserve">11 maggio (aggiornamento ore 06.22) sono state somministrate 39.426.220 terze dosi con una media mobile a 7 giorni di 8.283 somministrazioni al giorno. In base alla </w:t>
      </w:r>
      <w:hyperlink r:id="rId13" w:history="1">
        <w:r w:rsidRPr="00524CDB">
          <w:rPr>
            <w:rStyle w:val="Collegamentoipertestuale"/>
            <w:color w:val="auto"/>
          </w:rPr>
          <w:t>platea ufficiale</w:t>
        </w:r>
      </w:hyperlink>
      <w:r w:rsidRPr="00524CDB">
        <w:rPr>
          <w:color w:val="auto"/>
        </w:rPr>
        <w:t xml:space="preserve"> (n. 47.703.593), aggiornata al 6 maggio</w:t>
      </w:r>
      <w:r w:rsidR="00347F76">
        <w:rPr>
          <w:color w:val="auto"/>
        </w:rPr>
        <w:t>,</w:t>
      </w:r>
      <w:r w:rsidRPr="00524CDB">
        <w:rPr>
          <w:color w:val="auto"/>
        </w:rPr>
        <w:t xml:space="preserve"> il tasso di copertura nazionale per le terze dosi è dell’82,6% con nette differenze regionali: dal 77% della Sicilia all’86,7% della Valle D'Aosta. Sono 8,28 milioni le persone che non hanno ancora ricevuto la dose </w:t>
      </w:r>
      <w:r w:rsidRPr="00524CDB">
        <w:rPr>
          <w:i/>
          <w:color w:val="auto"/>
        </w:rPr>
        <w:t xml:space="preserve">booster </w:t>
      </w:r>
      <w:r w:rsidRPr="00524CDB">
        <w:rPr>
          <w:color w:val="auto"/>
        </w:rPr>
        <w:t>(</w:t>
      </w:r>
      <w:r w:rsidRPr="00524CDB">
        <w:rPr>
          <w:color w:val="auto"/>
          <w:highlight w:val="yellow"/>
        </w:rPr>
        <w:t>figure 14 e 15</w:t>
      </w:r>
      <w:r w:rsidRPr="00524CDB">
        <w:rPr>
          <w:color w:val="auto"/>
        </w:rPr>
        <w:t xml:space="preserve">), di cui: </w:t>
      </w:r>
    </w:p>
    <w:p w:rsidR="00524CDB" w:rsidRDefault="00524CDB" w:rsidP="00524CDB">
      <w:pPr>
        <w:pStyle w:val="Paragrafoelenco"/>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ind w:left="357" w:hanging="357"/>
        <w:jc w:val="both"/>
        <w:rPr>
          <w:color w:val="auto"/>
        </w:rPr>
      </w:pPr>
      <w:r w:rsidRPr="00524CDB">
        <w:rPr>
          <w:color w:val="auto"/>
        </w:rPr>
        <w:t>2,82 milioni possono riceverla subito</w:t>
      </w:r>
      <w:r>
        <w:rPr>
          <w:color w:val="auto"/>
        </w:rPr>
        <w:t xml:space="preserve">, pari al </w:t>
      </w:r>
      <w:r w:rsidRPr="00524CDB">
        <w:rPr>
          <w:color w:val="auto"/>
        </w:rPr>
        <w:t>5,9% della platea con nette differenze regionali dal 3,5% del</w:t>
      </w:r>
      <w:r w:rsidR="00347F76">
        <w:rPr>
          <w:color w:val="auto"/>
        </w:rPr>
        <w:t>l’</w:t>
      </w:r>
      <w:r w:rsidRPr="00524CDB">
        <w:rPr>
          <w:color w:val="auto"/>
        </w:rPr>
        <w:t xml:space="preserve">Abruzzo al </w:t>
      </w:r>
      <w:r>
        <w:rPr>
          <w:color w:val="auto"/>
        </w:rPr>
        <w:t>10,4% del</w:t>
      </w:r>
      <w:r w:rsidR="00917B70">
        <w:rPr>
          <w:color w:val="auto"/>
        </w:rPr>
        <w:t>la</w:t>
      </w:r>
      <w:r>
        <w:rPr>
          <w:color w:val="auto"/>
        </w:rPr>
        <w:t xml:space="preserve"> Prov</w:t>
      </w:r>
      <w:r w:rsidR="00917B70">
        <w:rPr>
          <w:color w:val="auto"/>
        </w:rPr>
        <w:t xml:space="preserve">incia </w:t>
      </w:r>
      <w:r>
        <w:rPr>
          <w:color w:val="auto"/>
        </w:rPr>
        <w:t>Aut</w:t>
      </w:r>
      <w:r w:rsidR="00917B70">
        <w:rPr>
          <w:color w:val="auto"/>
        </w:rPr>
        <w:t>onoma di</w:t>
      </w:r>
      <w:r>
        <w:rPr>
          <w:color w:val="auto"/>
        </w:rPr>
        <w:t xml:space="preserve"> Bolzano</w:t>
      </w:r>
      <w:r w:rsidR="00347F76">
        <w:rPr>
          <w:color w:val="auto"/>
        </w:rPr>
        <w:t>;</w:t>
      </w:r>
    </w:p>
    <w:p w:rsidR="00524CDB" w:rsidRPr="00524CDB" w:rsidRDefault="00524CDB" w:rsidP="00524CDB">
      <w:pPr>
        <w:pStyle w:val="Paragrafoelenco"/>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524CDB">
        <w:rPr>
          <w:color w:val="auto"/>
        </w:rPr>
        <w:lastRenderedPageBreak/>
        <w:t xml:space="preserve">5,46 milioni non possono riceverla nell’immediato </w:t>
      </w:r>
      <w:r>
        <w:rPr>
          <w:color w:val="auto"/>
        </w:rPr>
        <w:t>in quanto guarite da meno di 120 giorni, pari all’</w:t>
      </w:r>
      <w:r w:rsidRPr="00524CDB">
        <w:rPr>
          <w:color w:val="auto"/>
        </w:rPr>
        <w:t>11,4% della platea con nette differenze regionali</w:t>
      </w:r>
      <w:r>
        <w:rPr>
          <w:color w:val="auto"/>
        </w:rPr>
        <w:t>:</w:t>
      </w:r>
      <w:r w:rsidRPr="00524CDB">
        <w:rPr>
          <w:color w:val="auto"/>
        </w:rPr>
        <w:t xml:space="preserve"> dal 7,7% del</w:t>
      </w:r>
      <w:r>
        <w:rPr>
          <w:color w:val="auto"/>
        </w:rPr>
        <w:t>la Valle D</w:t>
      </w:r>
      <w:r w:rsidR="00347F76">
        <w:rPr>
          <w:color w:val="auto"/>
        </w:rPr>
        <w:t>’</w:t>
      </w:r>
      <w:r>
        <w:rPr>
          <w:color w:val="auto"/>
        </w:rPr>
        <w:t>Aosta al 13,8% dell’</w:t>
      </w:r>
      <w:r w:rsidRPr="00524CDB">
        <w:rPr>
          <w:color w:val="auto"/>
        </w:rPr>
        <w:t>Umbria.</w:t>
      </w:r>
    </w:p>
    <w:p w:rsidR="00524CDB" w:rsidRPr="00524CDB" w:rsidRDefault="00524CDB" w:rsidP="0039345B">
      <w:pPr>
        <w:spacing w:line="276" w:lineRule="auto"/>
        <w:jc w:val="both"/>
        <w:rPr>
          <w:rFonts w:eastAsia="Times New Roman" w:cstheme="minorHAnsi"/>
          <w:color w:val="auto"/>
        </w:rPr>
      </w:pPr>
      <w:r w:rsidRPr="00524CDB">
        <w:rPr>
          <w:rFonts w:eastAsia="Times New Roman" w:cstheme="minorHAnsi"/>
          <w:b/>
          <w:color w:val="auto"/>
        </w:rPr>
        <w:t>Vaccini: quarta dose persone immunocompromesse.</w:t>
      </w:r>
      <w:r w:rsidRPr="00524CDB">
        <w:rPr>
          <w:rFonts w:eastAsia="Times New Roman" w:cstheme="minorHAnsi"/>
          <w:color w:val="auto"/>
        </w:rPr>
        <w:t xml:space="preserve"> All’11 maggio (aggiornamento ore 06.22) sono state somministrate 166.483 quarte dosi. In base alla </w:t>
      </w:r>
      <w:hyperlink r:id="rId14" w:history="1">
        <w:r w:rsidRPr="00524CDB">
          <w:rPr>
            <w:rStyle w:val="Collegamentoipertestuale"/>
            <w:color w:val="auto"/>
          </w:rPr>
          <w:t>platea ufficiale</w:t>
        </w:r>
      </w:hyperlink>
      <w:r w:rsidRPr="00524CDB">
        <w:rPr>
          <w:rFonts w:eastAsia="Times New Roman" w:cstheme="minorHAnsi"/>
          <w:color w:val="auto"/>
        </w:rPr>
        <w:t xml:space="preserve"> (n. 791.376), aggiornata al 9 marzo, il tasso di copertura nazionale per le quarte dosi è del 21% con nette differenze regionali: dal 3,8% del Molise al 73,1% del Piemonte (</w:t>
      </w:r>
      <w:r w:rsidRPr="00524CDB">
        <w:rPr>
          <w:rFonts w:eastAsia="Times New Roman" w:cstheme="minorHAnsi"/>
          <w:color w:val="auto"/>
          <w:highlight w:val="yellow"/>
        </w:rPr>
        <w:t>figura 16</w:t>
      </w:r>
      <w:r w:rsidRPr="00524CDB">
        <w:rPr>
          <w:rFonts w:eastAsia="Times New Roman" w:cstheme="minorHAnsi"/>
          <w:color w:val="auto"/>
        </w:rPr>
        <w:t>).</w:t>
      </w:r>
    </w:p>
    <w:p w:rsidR="00524CDB" w:rsidRPr="00524CDB" w:rsidRDefault="00524CDB" w:rsidP="00306EC3">
      <w:pPr>
        <w:spacing w:line="276" w:lineRule="auto"/>
        <w:jc w:val="both"/>
        <w:rPr>
          <w:rFonts w:eastAsia="Times New Roman" w:cstheme="minorHAnsi"/>
          <w:color w:val="auto"/>
        </w:rPr>
      </w:pPr>
      <w:r w:rsidRPr="00524CDB">
        <w:rPr>
          <w:rFonts w:eastAsia="Times New Roman" w:cstheme="minorHAnsi"/>
          <w:b/>
          <w:color w:val="auto"/>
        </w:rPr>
        <w:t>Vaccini: quarta dose over 80, fragili (60-79 anni) e ospiti RSA.</w:t>
      </w:r>
      <w:r w:rsidRPr="00524CDB">
        <w:rPr>
          <w:rFonts w:eastAsia="Times New Roman" w:cstheme="minorHAnsi"/>
          <w:color w:val="auto"/>
        </w:rPr>
        <w:t xml:space="preserve">  All’11 maggio (aggiornamento ore 06.22) sono state somministrate 384.600 quarte dosi. In base alla </w:t>
      </w:r>
      <w:hyperlink r:id="rId15" w:history="1">
        <w:r w:rsidRPr="00524CDB">
          <w:rPr>
            <w:rStyle w:val="Collegamentoipertestuale"/>
            <w:color w:val="auto"/>
          </w:rPr>
          <w:t>platea ufficiale</w:t>
        </w:r>
      </w:hyperlink>
      <w:r w:rsidRPr="00524CDB">
        <w:rPr>
          <w:rFonts w:eastAsia="Times New Roman" w:cstheme="minorHAnsi"/>
          <w:color w:val="auto"/>
        </w:rPr>
        <w:t xml:space="preserve"> (n. 4.422.597 di cui 2.795.910 di over 80, 1.538.588 pazienti fragili della fascia di età 60-79 e 88.099 ospiti delle RSA che non ricadono nelle categorie precedenti), aggiornata al 19 aprile, il tasso di copertura nazionale per le quarte dosi è del</w:t>
      </w:r>
      <w:r>
        <w:rPr>
          <w:rFonts w:eastAsia="Times New Roman" w:cstheme="minorHAnsi"/>
          <w:color w:val="auto"/>
        </w:rPr>
        <w:t>l’</w:t>
      </w:r>
      <w:r w:rsidRPr="00524CDB">
        <w:rPr>
          <w:rFonts w:eastAsia="Times New Roman" w:cstheme="minorHAnsi"/>
          <w:color w:val="auto"/>
        </w:rPr>
        <w:t>8,7% con nette differenze regional</w:t>
      </w:r>
      <w:r>
        <w:rPr>
          <w:rFonts w:eastAsia="Times New Roman" w:cstheme="minorHAnsi"/>
          <w:color w:val="auto"/>
        </w:rPr>
        <w:t>i: dal 2,4% del Calabria al 18</w:t>
      </w:r>
      <w:r w:rsidRPr="00524CDB">
        <w:rPr>
          <w:rFonts w:eastAsia="Times New Roman" w:cstheme="minorHAnsi"/>
          <w:color w:val="auto"/>
        </w:rPr>
        <w:t>% del Piemonte (</w:t>
      </w:r>
      <w:r w:rsidRPr="00524CDB">
        <w:rPr>
          <w:rFonts w:eastAsia="Times New Roman" w:cstheme="minorHAnsi"/>
          <w:color w:val="auto"/>
          <w:highlight w:val="yellow"/>
        </w:rPr>
        <w:t>figura 17</w:t>
      </w:r>
      <w:r w:rsidRPr="00524CDB">
        <w:rPr>
          <w:rFonts w:eastAsia="Times New Roman" w:cstheme="minorHAnsi"/>
          <w:color w:val="auto"/>
        </w:rPr>
        <w:t>).</w:t>
      </w:r>
    </w:p>
    <w:p w:rsidR="003A149B" w:rsidRPr="004D1763" w:rsidRDefault="00372B2C" w:rsidP="007101B3">
      <w:p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jc w:val="both"/>
        <w:rPr>
          <w:color w:val="auto"/>
        </w:rPr>
      </w:pPr>
      <w:r w:rsidRPr="004D1763">
        <w:rPr>
          <w:rFonts w:eastAsia="Times New Roman"/>
          <w:b/>
          <w:color w:val="auto"/>
        </w:rPr>
        <w:t>Vaccini: efficacia.</w:t>
      </w:r>
      <w:r w:rsidRPr="004D1763">
        <w:rPr>
          <w:rFonts w:eastAsia="Times New Roman"/>
          <w:color w:val="auto"/>
        </w:rPr>
        <w:t xml:space="preserve"> I </w:t>
      </w:r>
      <w:hyperlink r:id="rId16" w:history="1">
        <w:r w:rsidRPr="004D1763">
          <w:rPr>
            <w:rStyle w:val="Collegamentoipertestuale"/>
            <w:color w:val="auto"/>
          </w:rPr>
          <w:t>dati dell’Istituto Superiore di Sanità</w:t>
        </w:r>
      </w:hyperlink>
      <w:r w:rsidR="00945FDF" w:rsidRPr="004D1763">
        <w:rPr>
          <w:color w:val="auto"/>
        </w:rPr>
        <w:t xml:space="preserve"> dimostrano </w:t>
      </w:r>
      <w:r w:rsidR="00820300" w:rsidRPr="004D1763">
        <w:rPr>
          <w:color w:val="auto"/>
        </w:rPr>
        <w:t>che</w:t>
      </w:r>
      <w:r w:rsidR="003A149B" w:rsidRPr="004D1763">
        <w:rPr>
          <w:color w:val="auto"/>
        </w:rPr>
        <w:t>:</w:t>
      </w:r>
    </w:p>
    <w:p w:rsidR="003A149B" w:rsidRPr="004D1763" w:rsidRDefault="003A149B" w:rsidP="003A149B">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4D1763">
        <w:rPr>
          <w:color w:val="auto"/>
        </w:rPr>
        <w:t xml:space="preserve">l’efficacia sulla diagnosi </w:t>
      </w:r>
      <w:r w:rsidR="00956F70" w:rsidRPr="004D1763">
        <w:rPr>
          <w:color w:val="auto"/>
        </w:rPr>
        <w:t xml:space="preserve">rimane </w:t>
      </w:r>
      <w:r w:rsidRPr="004D1763">
        <w:rPr>
          <w:color w:val="auto"/>
        </w:rPr>
        <w:t xml:space="preserve">sostanzialmente stabile dal </w:t>
      </w:r>
      <w:r w:rsidR="008F4656" w:rsidRPr="004D1763">
        <w:rPr>
          <w:color w:val="auto"/>
        </w:rPr>
        <w:t>4</w:t>
      </w:r>
      <w:r w:rsidR="004D1763" w:rsidRPr="004D1763">
        <w:rPr>
          <w:color w:val="auto"/>
        </w:rPr>
        <w:t>0</w:t>
      </w:r>
      <w:r w:rsidR="008F4656" w:rsidRPr="004D1763">
        <w:rPr>
          <w:color w:val="auto"/>
        </w:rPr>
        <w:t>,</w:t>
      </w:r>
      <w:r w:rsidR="004D1763" w:rsidRPr="004D1763">
        <w:rPr>
          <w:color w:val="auto"/>
        </w:rPr>
        <w:t>5</w:t>
      </w:r>
      <w:r w:rsidRPr="004D1763">
        <w:rPr>
          <w:color w:val="auto"/>
        </w:rPr>
        <w:t>% per i vaccinati con</w:t>
      </w:r>
      <w:r w:rsidR="008751B7" w:rsidRPr="004D1763">
        <w:rPr>
          <w:color w:val="auto"/>
        </w:rPr>
        <w:t xml:space="preserve"> due dosi entro 90 giorni al </w:t>
      </w:r>
      <w:r w:rsidR="008F4656" w:rsidRPr="004D1763">
        <w:rPr>
          <w:color w:val="auto"/>
        </w:rPr>
        <w:t>4</w:t>
      </w:r>
      <w:r w:rsidR="004D1763" w:rsidRPr="004D1763">
        <w:rPr>
          <w:color w:val="auto"/>
        </w:rPr>
        <w:t>3</w:t>
      </w:r>
      <w:r w:rsidR="00713F55" w:rsidRPr="004D1763">
        <w:rPr>
          <w:color w:val="auto"/>
        </w:rPr>
        <w:t>,</w:t>
      </w:r>
      <w:r w:rsidR="004D1763" w:rsidRPr="004D1763">
        <w:rPr>
          <w:color w:val="auto"/>
        </w:rPr>
        <w:t>4</w:t>
      </w:r>
      <w:r w:rsidRPr="004D1763">
        <w:rPr>
          <w:color w:val="auto"/>
        </w:rPr>
        <w:t>% per i vaccinati da più di 120 giorni</w:t>
      </w:r>
      <w:r w:rsidR="00956F70" w:rsidRPr="004D1763">
        <w:rPr>
          <w:color w:val="auto"/>
        </w:rPr>
        <w:t>, per poi salire</w:t>
      </w:r>
      <w:r w:rsidRPr="004D1763">
        <w:rPr>
          <w:color w:val="auto"/>
        </w:rPr>
        <w:t xml:space="preserve"> al </w:t>
      </w:r>
      <w:r w:rsidR="004D1763" w:rsidRPr="004D1763">
        <w:rPr>
          <w:color w:val="auto"/>
        </w:rPr>
        <w:t>57</w:t>
      </w:r>
      <w:r w:rsidR="008F4656" w:rsidRPr="004D1763">
        <w:rPr>
          <w:color w:val="auto"/>
        </w:rPr>
        <w:t>,</w:t>
      </w:r>
      <w:r w:rsidR="004D1763" w:rsidRPr="004D1763">
        <w:rPr>
          <w:color w:val="auto"/>
        </w:rPr>
        <w:t>9</w:t>
      </w:r>
      <w:r w:rsidRPr="004D1763">
        <w:rPr>
          <w:color w:val="auto"/>
        </w:rPr>
        <w:t xml:space="preserve">% dopo il richiamo; </w:t>
      </w:r>
    </w:p>
    <w:p w:rsidR="003A149B" w:rsidRPr="004D1763" w:rsidRDefault="003A149B" w:rsidP="004D1763">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4D1763">
        <w:rPr>
          <w:color w:val="auto"/>
        </w:rPr>
        <w:t xml:space="preserve">l’efficacia sulla malattia severa </w:t>
      </w:r>
      <w:r w:rsidR="00956F70" w:rsidRPr="004D1763">
        <w:rPr>
          <w:color w:val="auto"/>
        </w:rPr>
        <w:t xml:space="preserve">rimane </w:t>
      </w:r>
      <w:r w:rsidRPr="004D1763">
        <w:rPr>
          <w:color w:val="auto"/>
        </w:rPr>
        <w:t xml:space="preserve">sostanzialmente stabile dal </w:t>
      </w:r>
      <w:r w:rsidR="008751B7" w:rsidRPr="004D1763">
        <w:rPr>
          <w:color w:val="auto"/>
        </w:rPr>
        <w:t>7</w:t>
      </w:r>
      <w:r w:rsidR="004D1763" w:rsidRPr="004D1763">
        <w:rPr>
          <w:color w:val="auto"/>
        </w:rPr>
        <w:t>0,8</w:t>
      </w:r>
      <w:r w:rsidRPr="004D1763">
        <w:rPr>
          <w:color w:val="auto"/>
        </w:rPr>
        <w:t>% per i vaccinati con due dosi entro 90 giorni al 7</w:t>
      </w:r>
      <w:r w:rsidR="004D1763" w:rsidRPr="004D1763">
        <w:rPr>
          <w:color w:val="auto"/>
        </w:rPr>
        <w:t>1</w:t>
      </w:r>
      <w:r w:rsidRPr="004D1763">
        <w:rPr>
          <w:color w:val="auto"/>
        </w:rPr>
        <w:t>,</w:t>
      </w:r>
      <w:r w:rsidR="004D1763" w:rsidRPr="004D1763">
        <w:rPr>
          <w:color w:val="auto"/>
        </w:rPr>
        <w:t>9</w:t>
      </w:r>
      <w:r w:rsidRPr="004D1763">
        <w:rPr>
          <w:color w:val="auto"/>
        </w:rPr>
        <w:t xml:space="preserve">% per i </w:t>
      </w:r>
      <w:r w:rsidR="00820300" w:rsidRPr="004D1763">
        <w:rPr>
          <w:color w:val="auto"/>
        </w:rPr>
        <w:t>vaccinati da più di 120 giorni</w:t>
      </w:r>
      <w:r w:rsidR="00956F70" w:rsidRPr="004D1763">
        <w:rPr>
          <w:color w:val="auto"/>
        </w:rPr>
        <w:t>, per poi salire</w:t>
      </w:r>
      <w:r w:rsidR="00820300" w:rsidRPr="004D1763">
        <w:rPr>
          <w:color w:val="auto"/>
        </w:rPr>
        <w:t xml:space="preserve"> </w:t>
      </w:r>
      <w:r w:rsidRPr="004D1763">
        <w:rPr>
          <w:color w:val="auto"/>
        </w:rPr>
        <w:t>al</w:t>
      </w:r>
      <w:r w:rsidR="00F8392B" w:rsidRPr="004D1763">
        <w:rPr>
          <w:color w:val="auto"/>
        </w:rPr>
        <w:t>l’</w:t>
      </w:r>
      <w:r w:rsidR="008F4656" w:rsidRPr="004D1763">
        <w:rPr>
          <w:color w:val="auto"/>
        </w:rPr>
        <w:t>8</w:t>
      </w:r>
      <w:r w:rsidR="004D1763" w:rsidRPr="004D1763">
        <w:rPr>
          <w:color w:val="auto"/>
        </w:rPr>
        <w:t>8,6</w:t>
      </w:r>
      <w:r w:rsidRPr="004D1763">
        <w:rPr>
          <w:color w:val="auto"/>
        </w:rPr>
        <w:t>% dopo il richiamo.</w:t>
      </w:r>
    </w:p>
    <w:p w:rsidR="001A6AD7" w:rsidRDefault="004D1763" w:rsidP="0004577B">
      <w:pPr>
        <w:spacing w:line="276" w:lineRule="auto"/>
        <w:jc w:val="both"/>
        <w:rPr>
          <w:color w:val="auto"/>
        </w:rPr>
      </w:pPr>
      <w:r w:rsidRPr="004D1763">
        <w:rPr>
          <w:color w:val="auto"/>
        </w:rPr>
        <w:t>Complessivamente nelle persone vaccinate con ciclo completo (più eventuale dose di richiamo), rispetto a quelle non vaccinate, nelle varie fasce d’età si riduce l’incidenza di diagnosi (del 2-48,8%): fa eccezione la fascia 5-11 anni per la quale le diagnosi tra i vaccinati segnano un +32,9% rispetto ai non vaccinati. In tutte le fasce di età si riduce soprattutto l</w:t>
      </w:r>
      <w:r w:rsidR="00CF49A5">
        <w:rPr>
          <w:color w:val="auto"/>
        </w:rPr>
        <w:t>’</w:t>
      </w:r>
      <w:r w:rsidRPr="004D1763">
        <w:rPr>
          <w:color w:val="auto"/>
        </w:rPr>
        <w:t>incidenza di malattia grave (del 30,5-79,6% per ricoveri ordinari; del 25,3-82,1% per le terapie intensive) e decesso (del 51,4-100%) (</w:t>
      </w:r>
      <w:r w:rsidRPr="004D1763">
        <w:rPr>
          <w:color w:val="auto"/>
          <w:highlight w:val="yellow"/>
        </w:rPr>
        <w:t>figura 18</w:t>
      </w:r>
      <w:r w:rsidRPr="004D1763">
        <w:rPr>
          <w:color w:val="auto"/>
        </w:rPr>
        <w:t>).</w:t>
      </w:r>
    </w:p>
    <w:p w:rsidR="0004577B" w:rsidRPr="001A6AD7" w:rsidRDefault="0004577B" w:rsidP="0004577B">
      <w:pPr>
        <w:spacing w:line="276" w:lineRule="auto"/>
        <w:jc w:val="both"/>
        <w:rPr>
          <w:color w:val="auto"/>
        </w:rPr>
      </w:pPr>
      <w:r w:rsidRPr="004559CF">
        <w:t>«</w:t>
      </w:r>
      <w:r>
        <w:t xml:space="preserve">Le inaccettabili disuguaglianze regionali sulle coperture con le quarte dosi </w:t>
      </w:r>
      <w:r w:rsidRPr="004559CF">
        <w:t xml:space="preserve">– </w:t>
      </w:r>
      <w:r>
        <w:t>conclude</w:t>
      </w:r>
      <w:r w:rsidRPr="004559CF">
        <w:t xml:space="preserve"> Cartabellotta –</w:t>
      </w:r>
      <w:r>
        <w:t xml:space="preserve"> </w:t>
      </w:r>
      <w:r w:rsidRPr="004559CF">
        <w:t xml:space="preserve">dimostrano </w:t>
      </w:r>
      <w:r>
        <w:t xml:space="preserve">che le </w:t>
      </w:r>
      <w:r w:rsidRPr="004559CF">
        <w:t xml:space="preserve">strategie di chiamata attiva </w:t>
      </w:r>
      <w:r>
        <w:t xml:space="preserve">sono molto più efficaci della prenotazione volontaria. Tuttavia, la lentezza con cui procedono le somministrazioni è spia di una serpeggiante esitazione vaccinale, spesso alimentata da discutibili consigli </w:t>
      </w:r>
      <w:r w:rsidRPr="00AD68DD">
        <w:rPr>
          <w:color w:val="auto"/>
        </w:rPr>
        <w:t>sanitari</w:t>
      </w:r>
      <w:r>
        <w:t xml:space="preserve">, che invitano ad aspettare l’autunno per effettuare l’ulteriore richiamo con vaccini “aggiornati”. In realtà, questa strategia attendista può essere molto rischiosa per tre ragioni. Innanzitutto, non </w:t>
      </w:r>
      <w:r w:rsidR="000C645E">
        <w:t xml:space="preserve">vi è </w:t>
      </w:r>
      <w:r>
        <w:t xml:space="preserve">alcuna certezza su quando saranno disponibili </w:t>
      </w:r>
      <w:r w:rsidR="000C645E">
        <w:t xml:space="preserve">questi </w:t>
      </w:r>
      <w:r>
        <w:t xml:space="preserve">vaccini </w:t>
      </w:r>
      <w:r w:rsidR="001434A9">
        <w:t>“aggiornati</w:t>
      </w:r>
      <w:r>
        <w:t>”; in secondo luogo, i dati dimostrano sia il calo progressivo dell’efficacia vaccinale sulla malattia grave, sia una elevata mortalità negli over 80</w:t>
      </w:r>
      <w:r w:rsidR="00AD68DD">
        <w:t xml:space="preserve"> </w:t>
      </w:r>
      <w:r w:rsidR="00C0446E">
        <w:t xml:space="preserve">già </w:t>
      </w:r>
      <w:r w:rsidR="00AD68DD">
        <w:t xml:space="preserve">coperti </w:t>
      </w:r>
      <w:r w:rsidR="00C0446E">
        <w:t xml:space="preserve">con la </w:t>
      </w:r>
      <w:r w:rsidR="00AD68DD">
        <w:t>terza dose</w:t>
      </w:r>
      <w:r>
        <w:t xml:space="preserve">; infine, </w:t>
      </w:r>
      <w:r w:rsidR="000C645E">
        <w:t>si consolidano sempre più le</w:t>
      </w:r>
      <w:r>
        <w:t xml:space="preserve"> prove di efficacia della quarta dose nel ridurre ospedalizzazioni e decessi.  Senza mezzi termini: tenendo conto sia della particolare fragilità della platea a rischio, sia della elevata circolazione virale</w:t>
      </w:r>
      <w:r w:rsidR="000C645E">
        <w:t>,</w:t>
      </w:r>
      <w:r>
        <w:t xml:space="preserve"> la quarta dose </w:t>
      </w:r>
      <w:r w:rsidR="000C645E">
        <w:t xml:space="preserve">deve essere </w:t>
      </w:r>
      <w:r>
        <w:t xml:space="preserve">fatta </w:t>
      </w:r>
      <w:r w:rsidR="000C645E">
        <w:t>subito</w:t>
      </w:r>
      <w:r w:rsidRPr="004559CF">
        <w:t>».</w:t>
      </w: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7" w:history="1">
        <w:r w:rsidR="00CE577D" w:rsidRPr="00234B97">
          <w:rPr>
            <w:rStyle w:val="Hyperlink0"/>
          </w:rPr>
          <w:t>https://coronavirus.gimbe.org</w:t>
        </w:r>
      </w:hyperlink>
    </w:p>
    <w:p w:rsidR="009B392C" w:rsidRDefault="009B392C" w:rsidP="00BD67DE">
      <w:pPr>
        <w:spacing w:after="120" w:line="276" w:lineRule="auto"/>
        <w:rPr>
          <w:rStyle w:val="Hyperlink0"/>
        </w:rPr>
      </w:pPr>
    </w:p>
    <w:p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8" w:history="1">
        <w:r w:rsidRPr="00234B97">
          <w:rPr>
            <w:rStyle w:val="Hyperlink1"/>
          </w:rPr>
          <w:t>ufficio.stampa@gimbe.org</w:t>
        </w:r>
      </w:hyperlink>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0D67CD">
      <w:pPr>
        <w:jc w:val="center"/>
        <w:rPr>
          <w:b/>
          <w:bCs/>
          <w:color w:val="00457D"/>
          <w:sz w:val="24"/>
          <w:szCs w:val="24"/>
          <w:u w:color="00457D"/>
        </w:rPr>
      </w:pPr>
      <w:r>
        <w:rPr>
          <w:b/>
          <w:bCs/>
          <w:noProof/>
          <w:color w:val="00457D"/>
          <w:sz w:val="24"/>
          <w:szCs w:val="24"/>
          <w:u w:color="00457D"/>
        </w:rPr>
        <w:drawing>
          <wp:inline distT="0" distB="0" distL="0" distR="0" wp14:anchorId="52BF7C17" wp14:editId="17084D7C">
            <wp:extent cx="5760000" cy="319339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0D67CD">
        <w:rPr>
          <w:b/>
          <w:bCs/>
          <w:noProof/>
          <w:color w:val="00457D"/>
          <w:sz w:val="24"/>
          <w:szCs w:val="24"/>
          <w:u w:color="00457D"/>
        </w:rPr>
        <w:drawing>
          <wp:inline distT="0" distB="0" distL="0" distR="0" wp14:anchorId="34913A55" wp14:editId="42778FC4">
            <wp:extent cx="5760000" cy="3192521"/>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rsidSect="005B4AE1">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0D67CD"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7FD33794" wp14:editId="65081FC0">
            <wp:extent cx="9360000" cy="4810624"/>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5B4AE1">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0D67CD" w:rsidP="00E10DC3">
      <w:pPr>
        <w:spacing w:after="0"/>
        <w:jc w:val="center"/>
        <w:rPr>
          <w:color w:val="auto"/>
        </w:rPr>
      </w:pPr>
      <w:r>
        <w:rPr>
          <w:noProof/>
          <w:color w:val="auto"/>
        </w:rPr>
        <w:drawing>
          <wp:inline distT="0" distB="0" distL="0" distR="0" wp14:anchorId="03B6F3AD" wp14:editId="1CAEEF0B">
            <wp:extent cx="5760000" cy="2814192"/>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0D67CD" w:rsidP="000E770E">
      <w:pPr>
        <w:spacing w:after="0" w:line="276" w:lineRule="auto"/>
        <w:jc w:val="center"/>
        <w:rPr>
          <w:color w:val="auto"/>
        </w:rPr>
      </w:pPr>
      <w:r>
        <w:rPr>
          <w:noProof/>
          <w:color w:val="auto"/>
        </w:rPr>
        <w:drawing>
          <wp:inline distT="0" distB="0" distL="0" distR="0" wp14:anchorId="7E153F80" wp14:editId="10320EC9">
            <wp:extent cx="5760000" cy="3118094"/>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0D67CD"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6B6DDD1B" wp14:editId="70C83577">
            <wp:extent cx="5760000" cy="307239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072390"/>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1E3B61">
        <w:rPr>
          <w:b/>
          <w:bCs/>
          <w:color w:val="00457D"/>
          <w:sz w:val="24"/>
          <w:szCs w:val="24"/>
          <w:u w:color="00457D"/>
        </w:rPr>
        <w:t>7</w:t>
      </w:r>
    </w:p>
    <w:p w:rsidR="008751B7" w:rsidRDefault="000D67CD"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4BB7FC5B" wp14:editId="6C591F13">
            <wp:extent cx="5760000" cy="288591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2885919"/>
                    </a:xfrm>
                    <a:prstGeom prst="rect">
                      <a:avLst/>
                    </a:prstGeom>
                    <a:noFill/>
                  </pic:spPr>
                </pic:pic>
              </a:graphicData>
            </a:graphic>
          </wp:inline>
        </w:drawing>
      </w:r>
    </w:p>
    <w:p w:rsidR="008751B7" w:rsidRDefault="008751B7" w:rsidP="008751B7">
      <w:pPr>
        <w:spacing w:after="0"/>
        <w:jc w:val="center"/>
        <w:rPr>
          <w:b/>
          <w:bCs/>
          <w:color w:val="00457D"/>
          <w:sz w:val="24"/>
          <w:szCs w:val="24"/>
          <w:u w:color="00457D"/>
        </w:rPr>
      </w:pP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8751B7" w:rsidRPr="00310449" w:rsidRDefault="008751B7" w:rsidP="008751B7">
      <w:pPr>
        <w:spacing w:after="0"/>
        <w:jc w:val="center"/>
        <w:rPr>
          <w:b/>
          <w:bCs/>
          <w:color w:val="00457D"/>
          <w:sz w:val="24"/>
          <w:szCs w:val="24"/>
          <w:u w:color="00457D"/>
        </w:rPr>
      </w:pPr>
      <w:r w:rsidRPr="00310449">
        <w:rPr>
          <w:b/>
          <w:bCs/>
          <w:color w:val="00457D"/>
          <w:sz w:val="24"/>
          <w:szCs w:val="24"/>
          <w:u w:color="00457D"/>
        </w:rPr>
        <w:lastRenderedPageBreak/>
        <w:t>Figura 8</w:t>
      </w:r>
    </w:p>
    <w:p w:rsidR="00D93FAE" w:rsidRPr="00D93FAE" w:rsidRDefault="00310449"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320A0AF2" wp14:editId="4652C73F">
            <wp:extent cx="5760000" cy="535366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5353661"/>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8751B7">
        <w:rPr>
          <w:b/>
          <w:bCs/>
          <w:color w:val="00457D"/>
          <w:sz w:val="24"/>
          <w:szCs w:val="24"/>
          <w:u w:color="00457D"/>
        </w:rPr>
        <w:t>9</w:t>
      </w:r>
    </w:p>
    <w:p w:rsidR="003274E5" w:rsidRDefault="000D67CD"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70B293DA" wp14:editId="0DDEF57B">
            <wp:extent cx="5760000" cy="2792940"/>
            <wp:effectExtent l="0" t="0" r="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lastRenderedPageBreak/>
        <w:t>Figura 1</w:t>
      </w:r>
      <w:r w:rsidR="00030535">
        <w:rPr>
          <w:b/>
          <w:bCs/>
          <w:color w:val="00457D"/>
          <w:sz w:val="24"/>
          <w:szCs w:val="24"/>
          <w:u w:color="00457D"/>
        </w:rPr>
        <w:t>0</w:t>
      </w:r>
    </w:p>
    <w:p w:rsidR="001B3764" w:rsidRPr="00466C2D" w:rsidRDefault="00524CDB"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D7C16B9" wp14:editId="5C808308">
            <wp:extent cx="5760000" cy="3657340"/>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rsidR="008751B7" w:rsidRDefault="008751B7">
      <w:pPr>
        <w:spacing w:after="0" w:line="240" w:lineRule="auto"/>
        <w:rPr>
          <w:b/>
          <w:bCs/>
          <w:color w:val="00457D"/>
          <w:sz w:val="24"/>
          <w:szCs w:val="24"/>
          <w:u w:color="00457D"/>
        </w:rPr>
      </w:pP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54DDF">
        <w:rPr>
          <w:b/>
          <w:bCs/>
          <w:color w:val="00457D"/>
          <w:sz w:val="24"/>
          <w:szCs w:val="24"/>
          <w:u w:color="00457D"/>
        </w:rPr>
        <w:t>1</w:t>
      </w:r>
    </w:p>
    <w:p w:rsidR="00A15BB4" w:rsidRDefault="00524CDB" w:rsidP="00012B67">
      <w:pPr>
        <w:spacing w:line="276" w:lineRule="auto"/>
        <w:jc w:val="center"/>
        <w:rPr>
          <w:color w:val="FF0000"/>
        </w:rPr>
      </w:pPr>
      <w:r>
        <w:rPr>
          <w:noProof/>
          <w:color w:val="FF0000"/>
        </w:rPr>
        <w:drawing>
          <wp:inline distT="0" distB="0" distL="0" distR="0" wp14:anchorId="492FC337" wp14:editId="4860F1BE">
            <wp:extent cx="5760000" cy="3634133"/>
            <wp:effectExtent l="0" t="0" r="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E03BC7" w:rsidRDefault="00E03BC7">
      <w:pPr>
        <w:spacing w:after="0" w:line="240" w:lineRule="auto"/>
        <w:rPr>
          <w:b/>
          <w:bCs/>
          <w:color w:val="00457D"/>
          <w:sz w:val="24"/>
          <w:szCs w:val="24"/>
          <w:u w:color="00457D"/>
        </w:rPr>
      </w:pPr>
    </w:p>
    <w:p w:rsidR="00D54DDF" w:rsidRDefault="00D54DDF">
      <w:pPr>
        <w:spacing w:after="0" w:line="240" w:lineRule="auto"/>
        <w:rPr>
          <w:b/>
          <w:bCs/>
          <w:color w:val="00457D"/>
          <w:sz w:val="24"/>
          <w:szCs w:val="24"/>
          <w:u w:color="00457D"/>
        </w:rPr>
      </w:pPr>
      <w:r>
        <w:rPr>
          <w:b/>
          <w:bCs/>
          <w:color w:val="00457D"/>
          <w:sz w:val="24"/>
          <w:szCs w:val="24"/>
          <w:u w:color="00457D"/>
        </w:rPr>
        <w:br w:type="page"/>
      </w:r>
    </w:p>
    <w:p w:rsidR="00D54DDF" w:rsidRDefault="00D54DDF" w:rsidP="004B6DC2">
      <w:pPr>
        <w:spacing w:after="0" w:line="240" w:lineRule="auto"/>
        <w:jc w:val="center"/>
        <w:rPr>
          <w:b/>
          <w:bCs/>
          <w:color w:val="00457D"/>
          <w:sz w:val="24"/>
          <w:szCs w:val="24"/>
          <w:u w:color="00457D"/>
        </w:rPr>
      </w:pPr>
      <w:r>
        <w:rPr>
          <w:b/>
          <w:bCs/>
          <w:color w:val="00457D"/>
          <w:sz w:val="24"/>
          <w:szCs w:val="24"/>
          <w:u w:color="00457D"/>
        </w:rPr>
        <w:lastRenderedPageBreak/>
        <w:t>Figura 12</w:t>
      </w:r>
    </w:p>
    <w:p w:rsidR="00D54DDF" w:rsidRDefault="00524CDB"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A26DAEB" wp14:editId="4FA93B7E">
            <wp:extent cx="5688000" cy="4278749"/>
            <wp:effectExtent l="0" t="0" r="8255"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000" cy="4278749"/>
                    </a:xfrm>
                    <a:prstGeom prst="rect">
                      <a:avLst/>
                    </a:prstGeom>
                    <a:noFill/>
                  </pic:spPr>
                </pic:pic>
              </a:graphicData>
            </a:graphic>
          </wp:inline>
        </w:drawing>
      </w:r>
    </w:p>
    <w:p w:rsidR="00BE48B0" w:rsidRPr="00BE48B0" w:rsidRDefault="00BE48B0" w:rsidP="004B6DC2">
      <w:pPr>
        <w:spacing w:after="0" w:line="240" w:lineRule="auto"/>
        <w:jc w:val="center"/>
        <w:rPr>
          <w:b/>
          <w:bCs/>
          <w:color w:val="00457D"/>
          <w:sz w:val="12"/>
          <w:szCs w:val="12"/>
          <w:u w:color="00457D"/>
        </w:rPr>
      </w:pP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sidR="001E3B61">
        <w:rPr>
          <w:b/>
          <w:bCs/>
          <w:color w:val="00457D"/>
          <w:sz w:val="24"/>
          <w:szCs w:val="24"/>
          <w:u w:color="00457D"/>
        </w:rPr>
        <w:t>1</w:t>
      </w:r>
      <w:r w:rsidR="00D54DDF">
        <w:rPr>
          <w:b/>
          <w:bCs/>
          <w:color w:val="00457D"/>
          <w:sz w:val="24"/>
          <w:szCs w:val="24"/>
          <w:u w:color="00457D"/>
        </w:rPr>
        <w:t>3</w:t>
      </w:r>
    </w:p>
    <w:p w:rsidR="00061647" w:rsidRDefault="00524CDB"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A5C2D9C" wp14:editId="2D4E9589">
            <wp:extent cx="5688000" cy="4286081"/>
            <wp:effectExtent l="0" t="0" r="8255"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000" cy="4286081"/>
                    </a:xfrm>
                    <a:prstGeom prst="rect">
                      <a:avLst/>
                    </a:prstGeom>
                    <a:noFill/>
                  </pic:spPr>
                </pic:pic>
              </a:graphicData>
            </a:graphic>
          </wp:inline>
        </w:drawing>
      </w:r>
    </w:p>
    <w:p w:rsidR="00C359C9" w:rsidRDefault="00C359C9" w:rsidP="00BE48B0">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D54DDF">
        <w:rPr>
          <w:b/>
          <w:bCs/>
          <w:color w:val="00457D"/>
          <w:sz w:val="24"/>
          <w:szCs w:val="24"/>
          <w:u w:color="00457D"/>
        </w:rPr>
        <w:t>4</w:t>
      </w:r>
    </w:p>
    <w:p w:rsidR="006E14AA" w:rsidRDefault="00524CDB"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ACB76C5" wp14:editId="2A9840C7">
            <wp:extent cx="5760000" cy="349031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490318"/>
                    </a:xfrm>
                    <a:prstGeom prst="rect">
                      <a:avLst/>
                    </a:prstGeom>
                    <a:noFill/>
                  </pic:spPr>
                </pic:pic>
              </a:graphicData>
            </a:graphic>
          </wp:inline>
        </w:drawing>
      </w:r>
    </w:p>
    <w:p w:rsidR="006E14AA" w:rsidRDefault="006E14AA" w:rsidP="00C359C9">
      <w:pPr>
        <w:spacing w:after="0" w:line="240" w:lineRule="auto"/>
        <w:jc w:val="center"/>
        <w:rPr>
          <w:b/>
          <w:bCs/>
          <w:color w:val="00457D"/>
          <w:sz w:val="24"/>
          <w:szCs w:val="24"/>
          <w:u w:color="00457D"/>
        </w:rPr>
      </w:pPr>
    </w:p>
    <w:p w:rsidR="00D54DDF" w:rsidRDefault="00BE48B0" w:rsidP="00BE48B0">
      <w:pPr>
        <w:spacing w:after="0" w:line="240" w:lineRule="auto"/>
        <w:jc w:val="center"/>
        <w:rPr>
          <w:b/>
          <w:bCs/>
          <w:color w:val="00457D"/>
          <w:sz w:val="24"/>
          <w:szCs w:val="24"/>
          <w:u w:color="00457D"/>
        </w:rPr>
      </w:pPr>
      <w:r>
        <w:rPr>
          <w:b/>
          <w:bCs/>
          <w:color w:val="00457D"/>
          <w:sz w:val="24"/>
          <w:szCs w:val="24"/>
          <w:u w:color="00457D"/>
        </w:rPr>
        <w:t>Figura 15</w:t>
      </w:r>
    </w:p>
    <w:p w:rsidR="00D54DDF" w:rsidRDefault="00524CDB"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DF9EAA3" wp14:editId="67AB289C">
            <wp:extent cx="5760000" cy="4336952"/>
            <wp:effectExtent l="0" t="0" r="0" b="698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336952"/>
                    </a:xfrm>
                    <a:prstGeom prst="rect">
                      <a:avLst/>
                    </a:prstGeom>
                    <a:noFill/>
                  </pic:spPr>
                </pic:pic>
              </a:graphicData>
            </a:graphic>
          </wp:inline>
        </w:drawing>
      </w: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BE48B0">
        <w:rPr>
          <w:b/>
          <w:bCs/>
          <w:color w:val="00457D"/>
          <w:sz w:val="24"/>
          <w:szCs w:val="24"/>
          <w:u w:color="00457D"/>
        </w:rPr>
        <w:t>6</w:t>
      </w:r>
    </w:p>
    <w:p w:rsidR="007E1AAC" w:rsidRDefault="00524CDB"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C41C7C2" wp14:editId="72992435">
            <wp:extent cx="5688000" cy="4286081"/>
            <wp:effectExtent l="0" t="0" r="8255" b="63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8000" cy="4286081"/>
                    </a:xfrm>
                    <a:prstGeom prst="rect">
                      <a:avLst/>
                    </a:prstGeom>
                    <a:noFill/>
                  </pic:spPr>
                </pic:pic>
              </a:graphicData>
            </a:graphic>
          </wp:inline>
        </w:drawing>
      </w:r>
    </w:p>
    <w:p w:rsidR="00D71401" w:rsidRPr="00D71401" w:rsidRDefault="00D71401" w:rsidP="006E14AA">
      <w:pPr>
        <w:spacing w:after="0" w:line="240" w:lineRule="auto"/>
        <w:jc w:val="center"/>
        <w:rPr>
          <w:b/>
          <w:bCs/>
          <w:color w:val="00457D"/>
          <w:sz w:val="16"/>
          <w:szCs w:val="24"/>
          <w:u w:color="00457D"/>
        </w:rPr>
      </w:pPr>
    </w:p>
    <w:p w:rsidR="00D71401" w:rsidRDefault="00D71401" w:rsidP="001A2F1B">
      <w:pPr>
        <w:spacing w:after="0" w:line="240" w:lineRule="auto"/>
        <w:jc w:val="center"/>
        <w:rPr>
          <w:b/>
          <w:bCs/>
          <w:color w:val="00457D"/>
          <w:sz w:val="24"/>
          <w:szCs w:val="24"/>
          <w:u w:color="00457D"/>
        </w:rPr>
      </w:pPr>
      <w:r>
        <w:rPr>
          <w:b/>
          <w:bCs/>
          <w:color w:val="00457D"/>
          <w:sz w:val="24"/>
          <w:szCs w:val="24"/>
          <w:u w:color="00457D"/>
        </w:rPr>
        <w:t>Figura 1</w:t>
      </w:r>
      <w:r w:rsidR="00BE48B0">
        <w:rPr>
          <w:b/>
          <w:bCs/>
          <w:color w:val="00457D"/>
          <w:sz w:val="24"/>
          <w:szCs w:val="24"/>
          <w:u w:color="00457D"/>
        </w:rPr>
        <w:t>7</w:t>
      </w:r>
    </w:p>
    <w:p w:rsidR="00D71401" w:rsidRDefault="00524CDB"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80EF113" wp14:editId="70434E6D">
            <wp:extent cx="5688000" cy="4286081"/>
            <wp:effectExtent l="0" t="0" r="8255"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000" cy="4286081"/>
                    </a:xfrm>
                    <a:prstGeom prst="rect">
                      <a:avLst/>
                    </a:prstGeom>
                    <a:noFill/>
                  </pic:spPr>
                </pic:pic>
              </a:graphicData>
            </a:graphic>
          </wp:inline>
        </w:drawing>
      </w:r>
    </w:p>
    <w:p w:rsidR="00C359C9" w:rsidRDefault="00C359C9" w:rsidP="00E03BC7">
      <w:pPr>
        <w:spacing w:after="0" w:line="240" w:lineRule="auto"/>
        <w:jc w:val="center"/>
        <w:rPr>
          <w:b/>
          <w:bCs/>
          <w:color w:val="00457D"/>
          <w:sz w:val="24"/>
          <w:szCs w:val="24"/>
          <w:u w:color="00457D"/>
        </w:rPr>
        <w:sectPr w:rsidR="00C359C9" w:rsidSect="005B4AE1">
          <w:pgSz w:w="11900" w:h="16840"/>
          <w:pgMar w:top="1134" w:right="1134" w:bottom="1418" w:left="1134" w:header="709" w:footer="709" w:gutter="0"/>
          <w:cols w:space="720"/>
        </w:sectPr>
      </w:pPr>
    </w:p>
    <w:p w:rsidR="00F8392B" w:rsidRDefault="00775180" w:rsidP="00C46585">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BE48B0">
        <w:rPr>
          <w:b/>
          <w:bCs/>
          <w:color w:val="00457D"/>
          <w:sz w:val="24"/>
          <w:szCs w:val="24"/>
          <w:u w:color="00457D"/>
        </w:rPr>
        <w:t>18</w:t>
      </w:r>
    </w:p>
    <w:p w:rsidR="004066D0" w:rsidRDefault="004D1763" w:rsidP="00F8392B">
      <w:pPr>
        <w:spacing w:line="240" w:lineRule="auto"/>
        <w:ind w:left="-426"/>
        <w:jc w:val="center"/>
        <w:rPr>
          <w:b/>
          <w:bCs/>
          <w:color w:val="00457D"/>
          <w:sz w:val="24"/>
          <w:szCs w:val="24"/>
          <w:u w:color="00457D"/>
        </w:rPr>
      </w:pPr>
      <w:r>
        <w:rPr>
          <w:b/>
          <w:bCs/>
          <w:noProof/>
          <w:color w:val="00457D"/>
          <w:sz w:val="24"/>
          <w:szCs w:val="24"/>
          <w:u w:color="00457D"/>
        </w:rPr>
        <w:drawing>
          <wp:inline distT="0" distB="0" distL="0" distR="0" wp14:anchorId="6124946C" wp14:editId="535ED191">
            <wp:extent cx="9360000" cy="534020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60000" cy="5340207"/>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5B4AE1">
          <w:pgSz w:w="16840" w:h="11900" w:orient="landscape"/>
          <w:pgMar w:top="1134" w:right="1134" w:bottom="1134" w:left="1418" w:header="709" w:footer="709" w:gutter="0"/>
          <w:cols w:space="720"/>
          <w:docGrid w:linePitch="299"/>
        </w:sectPr>
      </w:pPr>
    </w:p>
    <w:p w:rsidR="00524CDB" w:rsidRPr="00524CDB" w:rsidRDefault="004D16FF" w:rsidP="00524CDB">
      <w:pPr>
        <w:spacing w:after="60" w:line="276" w:lineRule="auto"/>
        <w:jc w:val="center"/>
        <w:rPr>
          <w:color w:val="00457D"/>
        </w:rPr>
      </w:pPr>
      <w:r w:rsidRPr="00524CDB">
        <w:rPr>
          <w:b/>
          <w:bCs/>
          <w:color w:val="00457D"/>
          <w:sz w:val="24"/>
          <w:szCs w:val="24"/>
          <w:u w:color="00457D"/>
        </w:rPr>
        <w:lastRenderedPageBreak/>
        <w:t xml:space="preserve">Tabella 1. Indicatori regionali: settimana </w:t>
      </w:r>
      <w:r w:rsidR="000D67CD" w:rsidRPr="00524CDB">
        <w:rPr>
          <w:b/>
          <w:bCs/>
          <w:color w:val="00457D"/>
          <w:sz w:val="24"/>
          <w:szCs w:val="24"/>
          <w:u w:color="00457D"/>
        </w:rPr>
        <w:t>4-10</w:t>
      </w:r>
      <w:r w:rsidR="006013F1" w:rsidRPr="00524CDB">
        <w:rPr>
          <w:b/>
          <w:bCs/>
          <w:color w:val="00457D"/>
          <w:sz w:val="24"/>
          <w:szCs w:val="24"/>
          <w:u w:color="00457D"/>
        </w:rPr>
        <w:t xml:space="preserve"> maggio</w:t>
      </w:r>
      <w:r w:rsidRPr="00524CDB">
        <w:rPr>
          <w:b/>
          <w:bCs/>
          <w:color w:val="00457D"/>
          <w:sz w:val="24"/>
          <w:szCs w:val="24"/>
          <w:u w:color="00457D"/>
        </w:rPr>
        <w:t xml:space="preserve"> 2022</w:t>
      </w:r>
      <w:r w:rsidR="006013F1" w:rsidRPr="00524CDB">
        <w:rPr>
          <w:color w:val="00457D"/>
        </w:rPr>
        <w:t xml:space="preserve"> </w:t>
      </w:r>
    </w:p>
    <w:tbl>
      <w:tblPr>
        <w:tblW w:w="9639" w:type="dxa"/>
        <w:tblInd w:w="70" w:type="dxa"/>
        <w:tblCellMar>
          <w:left w:w="70" w:type="dxa"/>
          <w:right w:w="70" w:type="dxa"/>
        </w:tblCellMar>
        <w:tblLook w:val="04A0" w:firstRow="1" w:lastRow="0" w:firstColumn="1" w:lastColumn="0" w:noHBand="0" w:noVBand="1"/>
      </w:tblPr>
      <w:tblGrid>
        <w:gridCol w:w="1985"/>
        <w:gridCol w:w="1660"/>
        <w:gridCol w:w="1458"/>
        <w:gridCol w:w="2268"/>
        <w:gridCol w:w="2268"/>
      </w:tblGrid>
      <w:tr w:rsidR="00524CDB" w:rsidRPr="00524CDB" w:rsidTr="00524CDB">
        <w:trPr>
          <w:trHeight w:val="907"/>
        </w:trPr>
        <w:tc>
          <w:tcPr>
            <w:tcW w:w="1985"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524CDB">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524CDB">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24CDB">
              <w:rPr>
                <w:rFonts w:eastAsia="Times New Roman" w:cs="Calibri"/>
                <w:b/>
                <w:bCs/>
                <w:color w:val="FFFFFF"/>
                <w:bdr w:val="none" w:sz="0" w:space="0" w:color="auto"/>
              </w:rPr>
              <w:t xml:space="preserve">Variazione </w:t>
            </w:r>
            <w:r w:rsidRPr="00524CDB">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24CDB">
              <w:rPr>
                <w:rFonts w:eastAsia="Times New Roman" w:cs="Calibri"/>
                <w:b/>
                <w:bCs/>
                <w:color w:val="FFFFFF"/>
                <w:bdr w:val="none" w:sz="0" w:space="0" w:color="auto"/>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24CDB">
              <w:rPr>
                <w:rFonts w:eastAsia="Times New Roman" w:cs="Calibri"/>
                <w:b/>
                <w:bCs/>
                <w:color w:val="FFFFFF"/>
                <w:bdr w:val="none" w:sz="0" w:space="0" w:color="auto"/>
              </w:rPr>
              <w:t xml:space="preserve">Posti letto in terapia intensiva occupati da </w:t>
            </w:r>
            <w:r w:rsidRPr="00524CDB">
              <w:rPr>
                <w:rFonts w:eastAsia="Times New Roman" w:cs="Calibri"/>
                <w:b/>
                <w:bCs/>
                <w:color w:val="FFFFFF"/>
                <w:bdr w:val="none" w:sz="0" w:space="0" w:color="auto"/>
              </w:rPr>
              <w:br/>
              <w:t>pazienti COVID−19</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4.486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-25,5%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22,0%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5,5%</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5.383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-30,2%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24,2%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2,5%</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3.946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-24,6%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23,0%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4,1%</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2.768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-28,4%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16,5%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6,5%</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962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-18,6%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13,9%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4,3%</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1.956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-26,8%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12,6%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4,6%</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2.564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-30,2%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14,4%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5,3%</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885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-21,0%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15,6%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6,4%</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1.446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-28,7%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10,4%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2,0%</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416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-23,2%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13,0%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1,7%</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3.330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-25,3%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13,6%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5,1%</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1.027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-30,0%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9,1%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3,0%</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633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-18,6%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8,4%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3,0%</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563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-25,4%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13,7%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2,2%</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2.359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-32,9%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17,8%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6,0%</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1.583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-29,0%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17,0%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4,4%</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2.126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-25,1%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19,2%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4,2%</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1.150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-30,5%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9,7%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3,9%</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1.177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-23,3%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31,4%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4,7%</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1.077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-22,9%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24CDB">
              <w:rPr>
                <w:rFonts w:eastAsia="Times New Roman" w:cs="Calibri"/>
                <w:color w:val="9C0006"/>
                <w:bdr w:val="none" w:sz="0" w:space="0" w:color="auto"/>
              </w:rPr>
              <w:t>19,0%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2,9%</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24CDB">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1.129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-28,4%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8,3%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24CDB">
              <w:rPr>
                <w:rFonts w:eastAsia="Times New Roman" w:cs="Calibri"/>
                <w:color w:val="006100"/>
                <w:bdr w:val="none" w:sz="0" w:space="0" w:color="auto"/>
              </w:rPr>
              <w:t>2,4%</w:t>
            </w:r>
          </w:p>
        </w:tc>
      </w:tr>
      <w:tr w:rsidR="00524CDB" w:rsidRPr="00524CDB" w:rsidTr="00524CDB">
        <w:trPr>
          <w:trHeight w:val="340"/>
        </w:trPr>
        <w:tc>
          <w:tcPr>
            <w:tcW w:w="1985" w:type="dxa"/>
            <w:tcBorders>
              <w:top w:val="nil"/>
              <w:left w:val="single" w:sz="4" w:space="0" w:color="00457D"/>
              <w:bottom w:val="single" w:sz="4" w:space="0" w:color="00457D"/>
              <w:right w:val="single" w:sz="4" w:space="0" w:color="00457D"/>
            </w:tcBorders>
            <w:shd w:val="clear" w:color="000000" w:fill="00457D"/>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524CDB">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24CDB">
              <w:rPr>
                <w:rFonts w:eastAsia="Times New Roman" w:cs="Calibri"/>
                <w:b/>
                <w:bCs/>
                <w:color w:val="006100"/>
                <w:bdr w:val="none" w:sz="0" w:space="0" w:color="auto"/>
              </w:rPr>
              <w:t>1.828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24CDB">
              <w:rPr>
                <w:rFonts w:eastAsia="Times New Roman" w:cs="Calibri"/>
                <w:b/>
                <w:bCs/>
                <w:color w:val="006100"/>
                <w:bdr w:val="none" w:sz="0" w:space="0" w:color="auto"/>
              </w:rPr>
              <w:t>-27,5%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24CDB">
              <w:rPr>
                <w:rFonts w:eastAsia="Times New Roman" w:cs="Calibri"/>
                <w:b/>
                <w:bCs/>
                <w:color w:val="006100"/>
                <w:bdr w:val="none" w:sz="0" w:space="0" w:color="auto"/>
              </w:rPr>
              <w:t>13,3%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24CDB">
              <w:rPr>
                <w:rFonts w:eastAsia="Times New Roman" w:cs="Calibri"/>
                <w:b/>
                <w:bCs/>
                <w:color w:val="006100"/>
                <w:bdr w:val="none" w:sz="0" w:space="0" w:color="auto"/>
              </w:rPr>
              <w:t>3,8%</w:t>
            </w:r>
          </w:p>
        </w:tc>
      </w:tr>
      <w:tr w:rsidR="00524CDB" w:rsidRPr="00524CDB" w:rsidTr="00524CDB">
        <w:trPr>
          <w:trHeight w:val="1871"/>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C1577">
              <w:rPr>
                <w:rFonts w:eastAsia="Times New Roman" w:cs="Calibri"/>
                <w:color w:val="auto"/>
                <w:sz w:val="20"/>
                <w:szCs w:val="20"/>
                <w:bdr w:val="none" w:sz="0" w:space="0" w:color="auto"/>
              </w:rPr>
              <w:t xml:space="preserve">Nota: </w:t>
            </w:r>
            <w:r>
              <w:rPr>
                <w:rFonts w:eastAsia="Times New Roman" w:cs="Calibri"/>
                <w:color w:val="auto"/>
                <w:sz w:val="20"/>
                <w:szCs w:val="20"/>
                <w:bdr w:val="none" w:sz="0" w:space="0" w:color="auto"/>
              </w:rPr>
              <w:t>i dati della Regione Sicilia risentono di ricalcoli avvenuti nell’ultima settimana.</w:t>
            </w:r>
          </w:p>
          <w:p w:rsidR="00524CDB" w:rsidRPr="00524CDB" w:rsidRDefault="00524CDB" w:rsidP="00524CD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524CDB">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Pr="00524CDB">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524CDB">
              <w:rPr>
                <w:rFonts w:eastAsia="Times New Roman" w:cs="Calibri"/>
                <w:color w:val="auto"/>
                <w:sz w:val="20"/>
                <w:szCs w:val="20"/>
                <w:bdr w:val="none" w:sz="0" w:space="0" w:color="auto"/>
              </w:rPr>
              <w:br/>
              <w:t xml:space="preserve">Nelle ultime 2 colonne i colori rosso e verde indicano rispettivamente un valore superiore o inferiore rispetto alla media nazionale (dati Agenas). </w:t>
            </w:r>
          </w:p>
        </w:tc>
      </w:tr>
    </w:tbl>
    <w:p w:rsidR="004D16FF" w:rsidRDefault="004D16FF" w:rsidP="004D16FF">
      <w:pPr>
        <w:spacing w:after="0" w:line="240" w:lineRule="auto"/>
      </w:pPr>
      <w:r>
        <w:br w:type="page"/>
      </w:r>
    </w:p>
    <w:p w:rsidR="004D16FF" w:rsidRPr="008955B7" w:rsidRDefault="004D16FF" w:rsidP="008955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w:t>
      </w:r>
      <w:r w:rsidR="008955B7">
        <w:rPr>
          <w:b/>
          <w:bCs/>
          <w:color w:val="00457D"/>
          <w:sz w:val="24"/>
          <w:szCs w:val="24"/>
          <w:u w:color="00457D"/>
        </w:rPr>
        <w:t>ttimana suddivisi per provincia</w:t>
      </w:r>
    </w:p>
    <w:tbl>
      <w:tblPr>
        <w:tblStyle w:val="TableNormal"/>
        <w:tblW w:w="80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2100"/>
        <w:gridCol w:w="1687"/>
        <w:gridCol w:w="23"/>
      </w:tblGrid>
      <w:tr w:rsidR="00745BD1" w:rsidRPr="005672CD" w:rsidTr="000D67CD">
        <w:trPr>
          <w:gridAfter w:val="1"/>
          <w:wAfter w:w="23" w:type="dxa"/>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2100"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5672CD" w:rsidRDefault="00745BD1" w:rsidP="000D67CD">
            <w:pPr>
              <w:spacing w:after="0" w:line="240" w:lineRule="auto"/>
              <w:jc w:val="center"/>
              <w:rPr>
                <w:rFonts w:cs="Calibri"/>
                <w:szCs w:val="20"/>
              </w:rPr>
            </w:pPr>
            <w:r w:rsidRPr="005672CD">
              <w:rPr>
                <w:rFonts w:cs="Calibri"/>
                <w:b/>
                <w:bCs/>
                <w:color w:val="FFFFFF"/>
                <w:szCs w:val="20"/>
                <w:u w:color="FFFFFF"/>
              </w:rPr>
              <w:t xml:space="preserve">Nuovi casi per </w:t>
            </w:r>
            <w:r w:rsidR="00936C2E">
              <w:rPr>
                <w:rFonts w:cs="Calibri"/>
                <w:b/>
                <w:bCs/>
                <w:color w:val="FFFFFF"/>
                <w:szCs w:val="20"/>
                <w:u w:color="FFFFFF"/>
              </w:rPr>
              <w:br/>
            </w:r>
            <w:r w:rsidRPr="005672CD">
              <w:rPr>
                <w:rFonts w:cs="Calibri"/>
                <w:b/>
                <w:bCs/>
                <w:color w:val="FFFFFF"/>
                <w:szCs w:val="20"/>
                <w:u w:color="FFFFFF"/>
              </w:rPr>
              <w:t xml:space="preserve">100.000 abitanti </w:t>
            </w:r>
            <w:r>
              <w:rPr>
                <w:rFonts w:cs="Calibri"/>
                <w:b/>
                <w:bCs/>
                <w:color w:val="FFFFFF"/>
                <w:szCs w:val="20"/>
                <w:u w:color="FFFFFF"/>
              </w:rPr>
              <w:br/>
            </w:r>
            <w:r w:rsidR="000D67CD">
              <w:rPr>
                <w:rFonts w:cs="Calibri"/>
                <w:b/>
                <w:bCs/>
                <w:color w:val="FFFFFF"/>
                <w:szCs w:val="20"/>
                <w:u w:color="FFFFFF"/>
              </w:rPr>
              <w:t>4-10</w:t>
            </w:r>
            <w:r w:rsidR="006013F1">
              <w:rPr>
                <w:rFonts w:cs="Calibri"/>
                <w:b/>
                <w:bCs/>
                <w:color w:val="FFFFFF"/>
                <w:szCs w:val="20"/>
                <w:u w:color="FFFFFF"/>
              </w:rPr>
              <w:t xml:space="preserve"> maggio</w:t>
            </w:r>
            <w:r>
              <w:rPr>
                <w:rFonts w:cs="Calibri"/>
                <w:b/>
                <w:bCs/>
                <w:color w:val="FFFFFF"/>
                <w:szCs w:val="20"/>
                <w:u w:color="FFFFFF"/>
              </w:rPr>
              <w:t xml:space="preserve"> 2022</w:t>
            </w:r>
          </w:p>
        </w:tc>
        <w:tc>
          <w:tcPr>
            <w:tcW w:w="168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5672CD" w:rsidRDefault="00745BD1" w:rsidP="006013F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Chieti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897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Pescara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783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-24,3%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Teramo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768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-28,3%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L'Aquila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605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Potenza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603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-31,2%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Matera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561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-28,9%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Catanzaro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700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-27,6%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Crotone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674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-23,6%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Cosenza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527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-18,5%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Reggio di Calabria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411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Vibo Valentia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328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Avellino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726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Benevento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698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Salerno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669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Caserta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610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Napoli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495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Ravenna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572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-9,7%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Modena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548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Reggio nell'Emilia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538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Bologna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520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-13,7%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Parma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515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-12,2%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Forlì-Cesena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494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-16,3%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Ferrara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451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-18,0%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Rimini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418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-24,7%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Piacenza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311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Udine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447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-22,9%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Gorizia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410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-28,8%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Trieste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376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hd w:val="clear" w:color="auto" w:fill="C6EFCE"/>
              <w:spacing w:after="0" w:line="240" w:lineRule="auto"/>
              <w:jc w:val="center"/>
              <w:rPr>
                <w:rFonts w:cs="Calibri"/>
                <w:color w:val="006100"/>
              </w:rPr>
            </w:pPr>
            <w:r>
              <w:rPr>
                <w:rFonts w:cs="Calibri"/>
                <w:color w:val="006100"/>
              </w:rPr>
              <w:t>-30,8%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Pordenone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334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Frosinone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539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-28,0%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Latina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538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-23,9%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533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-39,5%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Roma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438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Viterbo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343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-35,0%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La Spezia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596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-14,6%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Genova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459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-18,8%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Imperia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431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Savona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343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-30,4%</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Lecco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473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-25,2%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Sondrio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451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-24,2%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Pavia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417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Mantova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398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-41,1%</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Monza e della Brianza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394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-27,3%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Como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387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Brescia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386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Cremona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359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-28,3%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Milano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356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Lodi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353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-24,9%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Varese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322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-37,2%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Bergamo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302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Ascoli Piceno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818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626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-23,0%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Macerata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607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-16,0%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Ancona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550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-20,0%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Pesaro e Urbino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480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Isernia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669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-23,2%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Campobasso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656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Bolzano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392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-18,7%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Trento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368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-25,4%</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Verbano-Cusio-Ossola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502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-4,8%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Biella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472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-18,9%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Vercelli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441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-22,6%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Asti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414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-26,4%</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Alessandria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380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Cuneo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360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-25,8%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Torino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360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-33,7%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Novara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300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-29,4%</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599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-32,0%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Taranto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597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-28,4%</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Brindisi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544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-37,7%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Lecce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499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-31,3%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Foggia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390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-36,5%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Barletta-Andria-Trani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313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-38,0%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Sud Sardegna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660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Cagliari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620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-23,9%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Oristano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619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-31,2%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Nuoro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482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-34,3%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Sassari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354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-34,3%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Siracusa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553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-23,8%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Ragusa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523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-13,4%</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Messina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511</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-31,6%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Caltanissetta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507</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-18,9%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Agrigento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485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-27,6%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Trapani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484</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-26,2%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Palermo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419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-23,6%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Catania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403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-25,7%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323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-29,4%</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Siena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520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-27,2%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490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Livorno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488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-28,6%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Grosseto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426</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-34,7%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Massa Carrara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425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-31,8%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Pistoia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410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-32,9%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Lucca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408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-27,2%</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Firenze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398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-32,6%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Prato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389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-20,8%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Arezzo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380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-33,9%</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Perugia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610</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-24,0%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Terni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562</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-20,8%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Aosta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353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-21,5%</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Vicenza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625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-29,8%</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Padova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623</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-33,1%</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Treviso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575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-21,6%</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Rovigo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569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-22,0%</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548</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-30,7%</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Verona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525</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-27,3%</w:t>
            </w:r>
          </w:p>
        </w:tc>
      </w:tr>
      <w:tr w:rsidR="000D67CD" w:rsidRPr="000D67CD" w:rsidTr="000D67CD">
        <w:tblPrEx>
          <w:shd w:val="clear" w:color="auto" w:fill="CDD4E9"/>
        </w:tblPrEx>
        <w:trPr>
          <w:gridAfter w:val="1"/>
          <w:wAfter w:w="23"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rPr>
                <w:rFonts w:cs="Calibri"/>
              </w:rPr>
            </w:pPr>
            <w:r>
              <w:rPr>
                <w:rFonts w:cs="Calibri"/>
              </w:rPr>
              <w:t>Belluno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0D67CD" w:rsidRDefault="000D67CD" w:rsidP="000D67CD">
            <w:pPr>
              <w:spacing w:after="0" w:line="240" w:lineRule="auto"/>
              <w:jc w:val="center"/>
              <w:rPr>
                <w:rFonts w:cs="Calibri"/>
              </w:rPr>
            </w:pPr>
            <w:r>
              <w:rPr>
                <w:rFonts w:cs="Calibri"/>
              </w:rPr>
              <w:t>439</w:t>
            </w:r>
          </w:p>
        </w:tc>
        <w:tc>
          <w:tcPr>
            <w:tcW w:w="168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0D67CD" w:rsidRPr="000D67CD" w:rsidRDefault="000D67CD" w:rsidP="000D67CD">
            <w:pPr>
              <w:spacing w:after="0" w:line="240" w:lineRule="auto"/>
              <w:jc w:val="center"/>
              <w:rPr>
                <w:rFonts w:cs="Calibri"/>
                <w:color w:val="006100"/>
              </w:rPr>
            </w:pPr>
            <w:r>
              <w:rPr>
                <w:rFonts w:cs="Calibri"/>
                <w:color w:val="006100"/>
              </w:rPr>
              <w:t>-21,7%</w:t>
            </w:r>
          </w:p>
        </w:tc>
      </w:tr>
      <w:tr w:rsidR="00D91289" w:rsidRPr="005672CD" w:rsidTr="000D67CD">
        <w:tblPrEx>
          <w:shd w:val="clear" w:color="auto" w:fill="CDD4E9"/>
        </w:tblPrEx>
        <w:trPr>
          <w:trHeight w:val="567"/>
          <w:jc w:val="center"/>
        </w:trPr>
        <w:tc>
          <w:tcPr>
            <w:tcW w:w="8058" w:type="dxa"/>
            <w:gridSpan w:val="5"/>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rsidR="00D91289" w:rsidRDefault="002B5E81" w:rsidP="006013F1">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rsidR="0080409E" w:rsidRPr="00234B97" w:rsidRDefault="0080409E"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rsidSect="005B4AE1">
      <w:pgSz w:w="11900" w:h="16840"/>
      <w:pgMar w:top="1134" w:right="1134" w:bottom="1418" w:left="1134"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D600" w16cex:dateUtc="2022-03-30T10:09:00Z"/>
  <w16cex:commentExtensible w16cex:durableId="25EED934" w16cex:dateUtc="2022-03-30T11:27:00Z"/>
  <w16cex:commentExtensible w16cex:durableId="25EED601" w16cex:dateUtc="2022-03-30T10:20:00Z"/>
  <w16cex:commentExtensible w16cex:durableId="25EED969" w16cex:dateUtc="2022-03-30T11:28:00Z"/>
  <w16cex:commentExtensible w16cex:durableId="25EED602" w16cex:dateUtc="2022-03-30T10:11:00Z"/>
  <w16cex:commentExtensible w16cex:durableId="25EED991" w16cex:dateUtc="2022-03-30T11:28:00Z"/>
  <w16cex:commentExtensible w16cex:durableId="25EED603" w16cex:dateUtc="2022-03-30T10:11:00Z"/>
  <w16cex:commentExtensible w16cex:durableId="25EED9B7" w16cex:dateUtc="2022-03-30T11:29:00Z"/>
  <w16cex:commentExtensible w16cex:durableId="25EEDA89" w16cex:dateUtc="2022-03-30T11:32:00Z"/>
  <w16cex:commentExtensible w16cex:durableId="25EED604" w16cex:dateUtc="2022-03-30T09:56:00Z"/>
  <w16cex:commentExtensible w16cex:durableId="25EEDAD0" w16cex:dateUtc="2022-03-30T11:34:00Z"/>
  <w16cex:commentExtensible w16cex:durableId="25EED605" w16cex:dateUtc="2022-03-30T10:29:00Z"/>
  <w16cex:commentExtensible w16cex:durableId="25EED606" w16cex:dateUtc="2022-03-30T10:13:00Z"/>
  <w16cex:commentExtensible w16cex:durableId="25EEDAF7" w16cex:dateUtc="2022-03-30T11:34:00Z"/>
  <w16cex:commentExtensible w16cex:durableId="25EED607" w16cex:dateUtc="2022-03-30T10:15:00Z"/>
  <w16cex:commentExtensible w16cex:durableId="25EEDB0A" w16cex:dateUtc="2022-03-30T11:35:00Z"/>
  <w16cex:commentExtensible w16cex:durableId="25EED608" w16cex:dateUtc="2022-03-30T11:09:00Z"/>
  <w16cex:commentExtensible w16cex:durableId="25EED609" w16cex:dateUtc="2022-03-30T11:04:00Z"/>
  <w16cex:commentExtensible w16cex:durableId="25EED60A" w16cex:dateUtc="2022-03-30T11:01:00Z"/>
  <w16cex:commentExtensible w16cex:durableId="25EEDB30" w16cex:dateUtc="2022-03-30T1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A01" w:rsidRDefault="00005A01">
      <w:pPr>
        <w:spacing w:after="0" w:line="240" w:lineRule="auto"/>
      </w:pPr>
      <w:r>
        <w:separator/>
      </w:r>
    </w:p>
  </w:endnote>
  <w:endnote w:type="continuationSeparator" w:id="0">
    <w:p w:rsidR="00005A01" w:rsidRDefault="0000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A01" w:rsidRDefault="00005A01">
      <w:pPr>
        <w:spacing w:after="0" w:line="240" w:lineRule="auto"/>
      </w:pPr>
      <w:r>
        <w:separator/>
      </w:r>
    </w:p>
  </w:footnote>
  <w:footnote w:type="continuationSeparator" w:id="0">
    <w:p w:rsidR="00005A01" w:rsidRDefault="00005A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10"/>
  </w:num>
  <w:num w:numId="5">
    <w:abstractNumId w:val="3"/>
  </w:num>
  <w:num w:numId="6">
    <w:abstractNumId w:val="6"/>
  </w:num>
  <w:num w:numId="7">
    <w:abstractNumId w:val="2"/>
  </w:num>
  <w:num w:numId="8">
    <w:abstractNumId w:val="8"/>
  </w:num>
  <w:num w:numId="9">
    <w:abstractNumId w:val="9"/>
  </w:num>
  <w:num w:numId="10">
    <w:abstractNumId w:val="7"/>
  </w:num>
  <w:num w:numId="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82B"/>
    <w:rsid w:val="000022A7"/>
    <w:rsid w:val="00002300"/>
    <w:rsid w:val="0000244C"/>
    <w:rsid w:val="000027F8"/>
    <w:rsid w:val="000043C6"/>
    <w:rsid w:val="00004BE3"/>
    <w:rsid w:val="00004BF7"/>
    <w:rsid w:val="00004CA3"/>
    <w:rsid w:val="00004D92"/>
    <w:rsid w:val="00005129"/>
    <w:rsid w:val="00005172"/>
    <w:rsid w:val="000056DE"/>
    <w:rsid w:val="00005A01"/>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4385"/>
    <w:rsid w:val="00015574"/>
    <w:rsid w:val="00015BAE"/>
    <w:rsid w:val="00016690"/>
    <w:rsid w:val="00017890"/>
    <w:rsid w:val="0002043C"/>
    <w:rsid w:val="000206F4"/>
    <w:rsid w:val="0002125E"/>
    <w:rsid w:val="00021C19"/>
    <w:rsid w:val="000222A5"/>
    <w:rsid w:val="00023784"/>
    <w:rsid w:val="00024C2D"/>
    <w:rsid w:val="00026518"/>
    <w:rsid w:val="00026849"/>
    <w:rsid w:val="00027033"/>
    <w:rsid w:val="000276DE"/>
    <w:rsid w:val="000300C2"/>
    <w:rsid w:val="00030535"/>
    <w:rsid w:val="0003144B"/>
    <w:rsid w:val="00031CD6"/>
    <w:rsid w:val="00032112"/>
    <w:rsid w:val="00032658"/>
    <w:rsid w:val="00033800"/>
    <w:rsid w:val="00033A78"/>
    <w:rsid w:val="00033CE4"/>
    <w:rsid w:val="0003499E"/>
    <w:rsid w:val="00034A98"/>
    <w:rsid w:val="000352B4"/>
    <w:rsid w:val="000354CC"/>
    <w:rsid w:val="000356DF"/>
    <w:rsid w:val="00036428"/>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C9B"/>
    <w:rsid w:val="00044EB9"/>
    <w:rsid w:val="000453E7"/>
    <w:rsid w:val="0004577B"/>
    <w:rsid w:val="00046B65"/>
    <w:rsid w:val="00047BCE"/>
    <w:rsid w:val="0005001A"/>
    <w:rsid w:val="00051038"/>
    <w:rsid w:val="0005206B"/>
    <w:rsid w:val="000523C5"/>
    <w:rsid w:val="00052578"/>
    <w:rsid w:val="000531D1"/>
    <w:rsid w:val="000542D3"/>
    <w:rsid w:val="0005433B"/>
    <w:rsid w:val="00054A26"/>
    <w:rsid w:val="00054D1D"/>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25F"/>
    <w:rsid w:val="000653E7"/>
    <w:rsid w:val="0006599B"/>
    <w:rsid w:val="00065C95"/>
    <w:rsid w:val="00066602"/>
    <w:rsid w:val="0006669C"/>
    <w:rsid w:val="00067039"/>
    <w:rsid w:val="000673B6"/>
    <w:rsid w:val="00067B8B"/>
    <w:rsid w:val="00071568"/>
    <w:rsid w:val="00071A13"/>
    <w:rsid w:val="00071C3B"/>
    <w:rsid w:val="0007243C"/>
    <w:rsid w:val="00072AFD"/>
    <w:rsid w:val="00072C04"/>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B96"/>
    <w:rsid w:val="0008271E"/>
    <w:rsid w:val="0008362E"/>
    <w:rsid w:val="00083804"/>
    <w:rsid w:val="00083DE2"/>
    <w:rsid w:val="0008457A"/>
    <w:rsid w:val="00084E0B"/>
    <w:rsid w:val="00085386"/>
    <w:rsid w:val="00085AF6"/>
    <w:rsid w:val="00085D13"/>
    <w:rsid w:val="000867DD"/>
    <w:rsid w:val="000871FB"/>
    <w:rsid w:val="00087236"/>
    <w:rsid w:val="00087B77"/>
    <w:rsid w:val="00091A87"/>
    <w:rsid w:val="00091D56"/>
    <w:rsid w:val="0009249D"/>
    <w:rsid w:val="00093AE7"/>
    <w:rsid w:val="0009411D"/>
    <w:rsid w:val="00095584"/>
    <w:rsid w:val="00095667"/>
    <w:rsid w:val="00095DC5"/>
    <w:rsid w:val="00096350"/>
    <w:rsid w:val="00096577"/>
    <w:rsid w:val="000A00BA"/>
    <w:rsid w:val="000A0380"/>
    <w:rsid w:val="000A08BA"/>
    <w:rsid w:val="000A0EDA"/>
    <w:rsid w:val="000A1093"/>
    <w:rsid w:val="000A1424"/>
    <w:rsid w:val="000A39B8"/>
    <w:rsid w:val="000A422E"/>
    <w:rsid w:val="000A57A1"/>
    <w:rsid w:val="000A6581"/>
    <w:rsid w:val="000A6DB2"/>
    <w:rsid w:val="000A72BA"/>
    <w:rsid w:val="000A7DDA"/>
    <w:rsid w:val="000A7E95"/>
    <w:rsid w:val="000A7EA7"/>
    <w:rsid w:val="000B0339"/>
    <w:rsid w:val="000B0548"/>
    <w:rsid w:val="000B0AC0"/>
    <w:rsid w:val="000B119C"/>
    <w:rsid w:val="000B1B66"/>
    <w:rsid w:val="000B211A"/>
    <w:rsid w:val="000B21CF"/>
    <w:rsid w:val="000B242E"/>
    <w:rsid w:val="000B2449"/>
    <w:rsid w:val="000B25F9"/>
    <w:rsid w:val="000B3CDF"/>
    <w:rsid w:val="000B4554"/>
    <w:rsid w:val="000B4A82"/>
    <w:rsid w:val="000B53A4"/>
    <w:rsid w:val="000B5AC9"/>
    <w:rsid w:val="000B6238"/>
    <w:rsid w:val="000B68AC"/>
    <w:rsid w:val="000B6BAC"/>
    <w:rsid w:val="000C07AC"/>
    <w:rsid w:val="000C0A45"/>
    <w:rsid w:val="000C0B9A"/>
    <w:rsid w:val="000C1E98"/>
    <w:rsid w:val="000C22FE"/>
    <w:rsid w:val="000C2BD2"/>
    <w:rsid w:val="000C3C3C"/>
    <w:rsid w:val="000C3DE4"/>
    <w:rsid w:val="000C4285"/>
    <w:rsid w:val="000C63F8"/>
    <w:rsid w:val="000C645E"/>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878"/>
    <w:rsid w:val="000D5B61"/>
    <w:rsid w:val="000D5C61"/>
    <w:rsid w:val="000D67CD"/>
    <w:rsid w:val="000D7077"/>
    <w:rsid w:val="000D75CD"/>
    <w:rsid w:val="000D7645"/>
    <w:rsid w:val="000D7A69"/>
    <w:rsid w:val="000D7DCE"/>
    <w:rsid w:val="000D7E45"/>
    <w:rsid w:val="000D7EE3"/>
    <w:rsid w:val="000E0BCB"/>
    <w:rsid w:val="000E0C48"/>
    <w:rsid w:val="000E1A5A"/>
    <w:rsid w:val="000E1ABF"/>
    <w:rsid w:val="000E1C12"/>
    <w:rsid w:val="000E238A"/>
    <w:rsid w:val="000E2D17"/>
    <w:rsid w:val="000E3472"/>
    <w:rsid w:val="000E476D"/>
    <w:rsid w:val="000E4A1A"/>
    <w:rsid w:val="000E5ABA"/>
    <w:rsid w:val="000E60E1"/>
    <w:rsid w:val="000E60EB"/>
    <w:rsid w:val="000E64DA"/>
    <w:rsid w:val="000E6F3B"/>
    <w:rsid w:val="000E770E"/>
    <w:rsid w:val="000E781A"/>
    <w:rsid w:val="000E7A53"/>
    <w:rsid w:val="000F0385"/>
    <w:rsid w:val="000F09AA"/>
    <w:rsid w:val="000F159D"/>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752"/>
    <w:rsid w:val="001012DC"/>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06B84"/>
    <w:rsid w:val="00110316"/>
    <w:rsid w:val="001104E4"/>
    <w:rsid w:val="00111ED5"/>
    <w:rsid w:val="00111EF8"/>
    <w:rsid w:val="00111F9A"/>
    <w:rsid w:val="00112E06"/>
    <w:rsid w:val="001130FB"/>
    <w:rsid w:val="00113933"/>
    <w:rsid w:val="00113F04"/>
    <w:rsid w:val="00113F85"/>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304B0"/>
    <w:rsid w:val="0013062E"/>
    <w:rsid w:val="0013077F"/>
    <w:rsid w:val="00130B71"/>
    <w:rsid w:val="00131B77"/>
    <w:rsid w:val="00131B83"/>
    <w:rsid w:val="00131BD2"/>
    <w:rsid w:val="001324D5"/>
    <w:rsid w:val="00132966"/>
    <w:rsid w:val="00132BF8"/>
    <w:rsid w:val="001343AE"/>
    <w:rsid w:val="00134D05"/>
    <w:rsid w:val="00135006"/>
    <w:rsid w:val="00135D77"/>
    <w:rsid w:val="00135DBC"/>
    <w:rsid w:val="00136581"/>
    <w:rsid w:val="001367B8"/>
    <w:rsid w:val="001378AD"/>
    <w:rsid w:val="0014031D"/>
    <w:rsid w:val="001410D3"/>
    <w:rsid w:val="0014184C"/>
    <w:rsid w:val="00141D1E"/>
    <w:rsid w:val="00141E72"/>
    <w:rsid w:val="00141F0A"/>
    <w:rsid w:val="00141F2F"/>
    <w:rsid w:val="00142677"/>
    <w:rsid w:val="001429C0"/>
    <w:rsid w:val="001434A9"/>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2D1F"/>
    <w:rsid w:val="001532BC"/>
    <w:rsid w:val="001533C7"/>
    <w:rsid w:val="001533DC"/>
    <w:rsid w:val="00153627"/>
    <w:rsid w:val="001536E7"/>
    <w:rsid w:val="001546C9"/>
    <w:rsid w:val="00154EE5"/>
    <w:rsid w:val="00157CBE"/>
    <w:rsid w:val="00157E6E"/>
    <w:rsid w:val="00157F8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234"/>
    <w:rsid w:val="00176590"/>
    <w:rsid w:val="00176B1E"/>
    <w:rsid w:val="00177874"/>
    <w:rsid w:val="001803BE"/>
    <w:rsid w:val="0018079D"/>
    <w:rsid w:val="00181994"/>
    <w:rsid w:val="00181F5C"/>
    <w:rsid w:val="00182713"/>
    <w:rsid w:val="0018288F"/>
    <w:rsid w:val="00183B21"/>
    <w:rsid w:val="00183FA3"/>
    <w:rsid w:val="00184068"/>
    <w:rsid w:val="00184E2C"/>
    <w:rsid w:val="00185D5F"/>
    <w:rsid w:val="00186142"/>
    <w:rsid w:val="00186853"/>
    <w:rsid w:val="00186E2D"/>
    <w:rsid w:val="00186FBE"/>
    <w:rsid w:val="001876F5"/>
    <w:rsid w:val="00187EBF"/>
    <w:rsid w:val="00190DB2"/>
    <w:rsid w:val="00191EB1"/>
    <w:rsid w:val="00192428"/>
    <w:rsid w:val="0019345D"/>
    <w:rsid w:val="00194070"/>
    <w:rsid w:val="001940FA"/>
    <w:rsid w:val="00194F60"/>
    <w:rsid w:val="001956DC"/>
    <w:rsid w:val="001956DE"/>
    <w:rsid w:val="0019613B"/>
    <w:rsid w:val="00196E72"/>
    <w:rsid w:val="00197134"/>
    <w:rsid w:val="00197435"/>
    <w:rsid w:val="001A09E4"/>
    <w:rsid w:val="001A156C"/>
    <w:rsid w:val="001A1A34"/>
    <w:rsid w:val="001A1D07"/>
    <w:rsid w:val="001A1D6C"/>
    <w:rsid w:val="001A25C7"/>
    <w:rsid w:val="001A2A7F"/>
    <w:rsid w:val="001A2CC0"/>
    <w:rsid w:val="001A2F1B"/>
    <w:rsid w:val="001A2F4F"/>
    <w:rsid w:val="001A3572"/>
    <w:rsid w:val="001A37AC"/>
    <w:rsid w:val="001A3E0F"/>
    <w:rsid w:val="001A3E43"/>
    <w:rsid w:val="001A49EA"/>
    <w:rsid w:val="001A4ADB"/>
    <w:rsid w:val="001A503E"/>
    <w:rsid w:val="001A50D6"/>
    <w:rsid w:val="001A5713"/>
    <w:rsid w:val="001A5A00"/>
    <w:rsid w:val="001A633C"/>
    <w:rsid w:val="001A65C5"/>
    <w:rsid w:val="001A6AD7"/>
    <w:rsid w:val="001A7237"/>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926"/>
    <w:rsid w:val="001C7E16"/>
    <w:rsid w:val="001D0234"/>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1FB2"/>
    <w:rsid w:val="001E2196"/>
    <w:rsid w:val="001E2453"/>
    <w:rsid w:val="001E297F"/>
    <w:rsid w:val="001E3B61"/>
    <w:rsid w:val="001E4641"/>
    <w:rsid w:val="001E4724"/>
    <w:rsid w:val="001E481E"/>
    <w:rsid w:val="001E49E6"/>
    <w:rsid w:val="001E509A"/>
    <w:rsid w:val="001E5259"/>
    <w:rsid w:val="001E5653"/>
    <w:rsid w:val="001E5977"/>
    <w:rsid w:val="001E6262"/>
    <w:rsid w:val="001E7AB9"/>
    <w:rsid w:val="001E7D8F"/>
    <w:rsid w:val="001F0985"/>
    <w:rsid w:val="001F1DD8"/>
    <w:rsid w:val="001F1DEB"/>
    <w:rsid w:val="001F1E82"/>
    <w:rsid w:val="001F2A2D"/>
    <w:rsid w:val="001F2BEC"/>
    <w:rsid w:val="001F2C8A"/>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23B"/>
    <w:rsid w:val="00202793"/>
    <w:rsid w:val="00202D0A"/>
    <w:rsid w:val="00204993"/>
    <w:rsid w:val="00204D79"/>
    <w:rsid w:val="002059AE"/>
    <w:rsid w:val="00205B01"/>
    <w:rsid w:val="0020699D"/>
    <w:rsid w:val="00207D85"/>
    <w:rsid w:val="00207EFE"/>
    <w:rsid w:val="00210040"/>
    <w:rsid w:val="002101D9"/>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B97"/>
    <w:rsid w:val="00234E8A"/>
    <w:rsid w:val="002351A0"/>
    <w:rsid w:val="00235552"/>
    <w:rsid w:val="00236626"/>
    <w:rsid w:val="0023670C"/>
    <w:rsid w:val="002369FF"/>
    <w:rsid w:val="00236FB0"/>
    <w:rsid w:val="0023721D"/>
    <w:rsid w:val="00240195"/>
    <w:rsid w:val="002408C1"/>
    <w:rsid w:val="00240E19"/>
    <w:rsid w:val="00240E86"/>
    <w:rsid w:val="00241542"/>
    <w:rsid w:val="0024188A"/>
    <w:rsid w:val="002427A3"/>
    <w:rsid w:val="00242AB2"/>
    <w:rsid w:val="00242C77"/>
    <w:rsid w:val="00242F2C"/>
    <w:rsid w:val="00243949"/>
    <w:rsid w:val="0024483B"/>
    <w:rsid w:val="00244983"/>
    <w:rsid w:val="00245030"/>
    <w:rsid w:val="00245DC3"/>
    <w:rsid w:val="00246244"/>
    <w:rsid w:val="00246954"/>
    <w:rsid w:val="0024739E"/>
    <w:rsid w:val="00247670"/>
    <w:rsid w:val="00247B4B"/>
    <w:rsid w:val="00247BA3"/>
    <w:rsid w:val="00247F6D"/>
    <w:rsid w:val="00250437"/>
    <w:rsid w:val="002515D1"/>
    <w:rsid w:val="002517CA"/>
    <w:rsid w:val="00251947"/>
    <w:rsid w:val="002519DD"/>
    <w:rsid w:val="00251A96"/>
    <w:rsid w:val="00252D32"/>
    <w:rsid w:val="0025323D"/>
    <w:rsid w:val="00253DD5"/>
    <w:rsid w:val="002540D8"/>
    <w:rsid w:val="00254613"/>
    <w:rsid w:val="00254744"/>
    <w:rsid w:val="002549B0"/>
    <w:rsid w:val="00254CC7"/>
    <w:rsid w:val="00254DBE"/>
    <w:rsid w:val="00255240"/>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49"/>
    <w:rsid w:val="00276FFD"/>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1E7C"/>
    <w:rsid w:val="00291ECD"/>
    <w:rsid w:val="0029275F"/>
    <w:rsid w:val="0029423D"/>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549"/>
    <w:rsid w:val="002A2883"/>
    <w:rsid w:val="002A300B"/>
    <w:rsid w:val="002A35BD"/>
    <w:rsid w:val="002A407A"/>
    <w:rsid w:val="002A4098"/>
    <w:rsid w:val="002A4857"/>
    <w:rsid w:val="002A50E7"/>
    <w:rsid w:val="002A53C2"/>
    <w:rsid w:val="002A62EC"/>
    <w:rsid w:val="002A6F90"/>
    <w:rsid w:val="002A7BEE"/>
    <w:rsid w:val="002B0423"/>
    <w:rsid w:val="002B0A30"/>
    <w:rsid w:val="002B0ADF"/>
    <w:rsid w:val="002B20E2"/>
    <w:rsid w:val="002B2371"/>
    <w:rsid w:val="002B2CCB"/>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3A7"/>
    <w:rsid w:val="00303AA0"/>
    <w:rsid w:val="00304225"/>
    <w:rsid w:val="00304954"/>
    <w:rsid w:val="003049F6"/>
    <w:rsid w:val="00305C43"/>
    <w:rsid w:val="00305D40"/>
    <w:rsid w:val="00305FD6"/>
    <w:rsid w:val="00306478"/>
    <w:rsid w:val="00306641"/>
    <w:rsid w:val="003068D2"/>
    <w:rsid w:val="00306EC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8F9"/>
    <w:rsid w:val="00317A4C"/>
    <w:rsid w:val="00317E3D"/>
    <w:rsid w:val="00320817"/>
    <w:rsid w:val="00320D4F"/>
    <w:rsid w:val="00320D92"/>
    <w:rsid w:val="00321347"/>
    <w:rsid w:val="00321CCA"/>
    <w:rsid w:val="00321D29"/>
    <w:rsid w:val="00322491"/>
    <w:rsid w:val="00322631"/>
    <w:rsid w:val="00322C39"/>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324C"/>
    <w:rsid w:val="00345444"/>
    <w:rsid w:val="00345585"/>
    <w:rsid w:val="0034565E"/>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BBB"/>
    <w:rsid w:val="00362CAB"/>
    <w:rsid w:val="00362FDB"/>
    <w:rsid w:val="00363039"/>
    <w:rsid w:val="003631E5"/>
    <w:rsid w:val="0036469A"/>
    <w:rsid w:val="00364ED4"/>
    <w:rsid w:val="0036518B"/>
    <w:rsid w:val="00365280"/>
    <w:rsid w:val="0036535A"/>
    <w:rsid w:val="0036634C"/>
    <w:rsid w:val="00366CCB"/>
    <w:rsid w:val="00367020"/>
    <w:rsid w:val="00367AEB"/>
    <w:rsid w:val="00367BA7"/>
    <w:rsid w:val="0037023A"/>
    <w:rsid w:val="0037026E"/>
    <w:rsid w:val="003709B0"/>
    <w:rsid w:val="00370F56"/>
    <w:rsid w:val="003719ED"/>
    <w:rsid w:val="00371C1D"/>
    <w:rsid w:val="003726E1"/>
    <w:rsid w:val="003727A7"/>
    <w:rsid w:val="00372AFA"/>
    <w:rsid w:val="00372B2C"/>
    <w:rsid w:val="0037304B"/>
    <w:rsid w:val="00373CA2"/>
    <w:rsid w:val="0037430E"/>
    <w:rsid w:val="003744DF"/>
    <w:rsid w:val="0037469D"/>
    <w:rsid w:val="003747F1"/>
    <w:rsid w:val="0037564C"/>
    <w:rsid w:val="003763C5"/>
    <w:rsid w:val="00376A63"/>
    <w:rsid w:val="00376B57"/>
    <w:rsid w:val="00376B91"/>
    <w:rsid w:val="00376E88"/>
    <w:rsid w:val="00380127"/>
    <w:rsid w:val="00380531"/>
    <w:rsid w:val="00382074"/>
    <w:rsid w:val="00382557"/>
    <w:rsid w:val="0038374F"/>
    <w:rsid w:val="00383A18"/>
    <w:rsid w:val="00383FBD"/>
    <w:rsid w:val="00384423"/>
    <w:rsid w:val="00385025"/>
    <w:rsid w:val="00385142"/>
    <w:rsid w:val="00385C48"/>
    <w:rsid w:val="0038657C"/>
    <w:rsid w:val="003874BF"/>
    <w:rsid w:val="003874D0"/>
    <w:rsid w:val="003879A8"/>
    <w:rsid w:val="00387D4E"/>
    <w:rsid w:val="003908B8"/>
    <w:rsid w:val="00390F8F"/>
    <w:rsid w:val="00391515"/>
    <w:rsid w:val="00391BD8"/>
    <w:rsid w:val="00391D3F"/>
    <w:rsid w:val="00392041"/>
    <w:rsid w:val="003920FB"/>
    <w:rsid w:val="0039246E"/>
    <w:rsid w:val="003924CD"/>
    <w:rsid w:val="003932D6"/>
    <w:rsid w:val="0039345B"/>
    <w:rsid w:val="00393652"/>
    <w:rsid w:val="00393F63"/>
    <w:rsid w:val="00394375"/>
    <w:rsid w:val="00394447"/>
    <w:rsid w:val="00394992"/>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53A4"/>
    <w:rsid w:val="003B5F29"/>
    <w:rsid w:val="003B632B"/>
    <w:rsid w:val="003B6B24"/>
    <w:rsid w:val="003B6F85"/>
    <w:rsid w:val="003B720F"/>
    <w:rsid w:val="003C0321"/>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33FF"/>
    <w:rsid w:val="003E3422"/>
    <w:rsid w:val="003E35A0"/>
    <w:rsid w:val="003E3679"/>
    <w:rsid w:val="003E3C44"/>
    <w:rsid w:val="003E3EB4"/>
    <w:rsid w:val="003E3FDD"/>
    <w:rsid w:val="003E4620"/>
    <w:rsid w:val="003E49D4"/>
    <w:rsid w:val="003E4B31"/>
    <w:rsid w:val="003E512B"/>
    <w:rsid w:val="003E5430"/>
    <w:rsid w:val="003E5AB8"/>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8D2"/>
    <w:rsid w:val="003F2987"/>
    <w:rsid w:val="003F2CF1"/>
    <w:rsid w:val="003F3D44"/>
    <w:rsid w:val="003F4BBB"/>
    <w:rsid w:val="003F5167"/>
    <w:rsid w:val="003F534E"/>
    <w:rsid w:val="003F5612"/>
    <w:rsid w:val="003F6A5F"/>
    <w:rsid w:val="003F6A89"/>
    <w:rsid w:val="003F6C05"/>
    <w:rsid w:val="003F7223"/>
    <w:rsid w:val="003F7469"/>
    <w:rsid w:val="003F7493"/>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6CA"/>
    <w:rsid w:val="00415795"/>
    <w:rsid w:val="004167BB"/>
    <w:rsid w:val="00417326"/>
    <w:rsid w:val="00417C5E"/>
    <w:rsid w:val="00417D75"/>
    <w:rsid w:val="00420736"/>
    <w:rsid w:val="00421389"/>
    <w:rsid w:val="004222A8"/>
    <w:rsid w:val="0042267C"/>
    <w:rsid w:val="004230E7"/>
    <w:rsid w:val="0042340E"/>
    <w:rsid w:val="004235BB"/>
    <w:rsid w:val="00423EC1"/>
    <w:rsid w:val="00424111"/>
    <w:rsid w:val="004243B2"/>
    <w:rsid w:val="004254C7"/>
    <w:rsid w:val="00426290"/>
    <w:rsid w:val="004262FC"/>
    <w:rsid w:val="00431177"/>
    <w:rsid w:val="004315A5"/>
    <w:rsid w:val="00431BFD"/>
    <w:rsid w:val="00432864"/>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642"/>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6BB6"/>
    <w:rsid w:val="00447C34"/>
    <w:rsid w:val="00447CB6"/>
    <w:rsid w:val="00450520"/>
    <w:rsid w:val="00450606"/>
    <w:rsid w:val="00450FC6"/>
    <w:rsid w:val="0045113F"/>
    <w:rsid w:val="00451468"/>
    <w:rsid w:val="00451CF0"/>
    <w:rsid w:val="00451EEA"/>
    <w:rsid w:val="004535DC"/>
    <w:rsid w:val="0045421C"/>
    <w:rsid w:val="00455764"/>
    <w:rsid w:val="0045576F"/>
    <w:rsid w:val="00455AE7"/>
    <w:rsid w:val="00455C5F"/>
    <w:rsid w:val="00455FD5"/>
    <w:rsid w:val="00456315"/>
    <w:rsid w:val="00457225"/>
    <w:rsid w:val="004572B2"/>
    <w:rsid w:val="00457621"/>
    <w:rsid w:val="00457942"/>
    <w:rsid w:val="00460941"/>
    <w:rsid w:val="00460B6D"/>
    <w:rsid w:val="00460D0D"/>
    <w:rsid w:val="00460F8A"/>
    <w:rsid w:val="0046121C"/>
    <w:rsid w:val="00461433"/>
    <w:rsid w:val="00462A52"/>
    <w:rsid w:val="00463915"/>
    <w:rsid w:val="004642E7"/>
    <w:rsid w:val="004649D9"/>
    <w:rsid w:val="00464CCF"/>
    <w:rsid w:val="00465094"/>
    <w:rsid w:val="00465213"/>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1C78"/>
    <w:rsid w:val="004821B7"/>
    <w:rsid w:val="004824DB"/>
    <w:rsid w:val="0048254D"/>
    <w:rsid w:val="0048276B"/>
    <w:rsid w:val="00482785"/>
    <w:rsid w:val="00482E79"/>
    <w:rsid w:val="0048371B"/>
    <w:rsid w:val="00483722"/>
    <w:rsid w:val="00483C7A"/>
    <w:rsid w:val="00483FB7"/>
    <w:rsid w:val="0048493A"/>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02F"/>
    <w:rsid w:val="004A7619"/>
    <w:rsid w:val="004A7B51"/>
    <w:rsid w:val="004A7CFD"/>
    <w:rsid w:val="004A7D7C"/>
    <w:rsid w:val="004B0168"/>
    <w:rsid w:val="004B0AA5"/>
    <w:rsid w:val="004B102C"/>
    <w:rsid w:val="004B1639"/>
    <w:rsid w:val="004B1E0F"/>
    <w:rsid w:val="004B248A"/>
    <w:rsid w:val="004B316D"/>
    <w:rsid w:val="004B3E0A"/>
    <w:rsid w:val="004B3EBB"/>
    <w:rsid w:val="004B4ECE"/>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70BD"/>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A97"/>
    <w:rsid w:val="004D2E6B"/>
    <w:rsid w:val="004D3112"/>
    <w:rsid w:val="004D39E9"/>
    <w:rsid w:val="004D3C41"/>
    <w:rsid w:val="004D3CD7"/>
    <w:rsid w:val="004D3DFD"/>
    <w:rsid w:val="004D49EC"/>
    <w:rsid w:val="004D4C65"/>
    <w:rsid w:val="004D52D6"/>
    <w:rsid w:val="004D5525"/>
    <w:rsid w:val="004D562D"/>
    <w:rsid w:val="004D5CB3"/>
    <w:rsid w:val="004D5CBF"/>
    <w:rsid w:val="004D7ABD"/>
    <w:rsid w:val="004D7C29"/>
    <w:rsid w:val="004D7E87"/>
    <w:rsid w:val="004E0DD7"/>
    <w:rsid w:val="004E102A"/>
    <w:rsid w:val="004E117D"/>
    <w:rsid w:val="004E18F8"/>
    <w:rsid w:val="004E1B35"/>
    <w:rsid w:val="004E220C"/>
    <w:rsid w:val="004E289D"/>
    <w:rsid w:val="004E3F56"/>
    <w:rsid w:val="004E3F72"/>
    <w:rsid w:val="004E4163"/>
    <w:rsid w:val="004E506C"/>
    <w:rsid w:val="004E555F"/>
    <w:rsid w:val="004E6084"/>
    <w:rsid w:val="004E61A3"/>
    <w:rsid w:val="004E6816"/>
    <w:rsid w:val="004E6C61"/>
    <w:rsid w:val="004E7F6E"/>
    <w:rsid w:val="004F00F6"/>
    <w:rsid w:val="004F0669"/>
    <w:rsid w:val="004F07A7"/>
    <w:rsid w:val="004F0A96"/>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825"/>
    <w:rsid w:val="0050695E"/>
    <w:rsid w:val="00506BF3"/>
    <w:rsid w:val="00507572"/>
    <w:rsid w:val="00510F4E"/>
    <w:rsid w:val="005110E4"/>
    <w:rsid w:val="00511BFE"/>
    <w:rsid w:val="00512377"/>
    <w:rsid w:val="00513024"/>
    <w:rsid w:val="00513780"/>
    <w:rsid w:val="00514887"/>
    <w:rsid w:val="00514F57"/>
    <w:rsid w:val="00516F1E"/>
    <w:rsid w:val="00517884"/>
    <w:rsid w:val="005200F6"/>
    <w:rsid w:val="005200FB"/>
    <w:rsid w:val="005206D7"/>
    <w:rsid w:val="005207B1"/>
    <w:rsid w:val="00520CC0"/>
    <w:rsid w:val="00521427"/>
    <w:rsid w:val="00521485"/>
    <w:rsid w:val="005216C3"/>
    <w:rsid w:val="005223FE"/>
    <w:rsid w:val="005236EA"/>
    <w:rsid w:val="005239E5"/>
    <w:rsid w:val="00524CDB"/>
    <w:rsid w:val="00525431"/>
    <w:rsid w:val="005265EC"/>
    <w:rsid w:val="005268E4"/>
    <w:rsid w:val="00526970"/>
    <w:rsid w:val="00526D10"/>
    <w:rsid w:val="00526D94"/>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54A9"/>
    <w:rsid w:val="0053578B"/>
    <w:rsid w:val="00535B9E"/>
    <w:rsid w:val="0053669F"/>
    <w:rsid w:val="00536726"/>
    <w:rsid w:val="00536DC0"/>
    <w:rsid w:val="00537521"/>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283"/>
    <w:rsid w:val="00551C90"/>
    <w:rsid w:val="005521C0"/>
    <w:rsid w:val="00552753"/>
    <w:rsid w:val="00553106"/>
    <w:rsid w:val="00553823"/>
    <w:rsid w:val="00553D22"/>
    <w:rsid w:val="00553FF4"/>
    <w:rsid w:val="005549FE"/>
    <w:rsid w:val="00554C0B"/>
    <w:rsid w:val="00554F5B"/>
    <w:rsid w:val="00555BDA"/>
    <w:rsid w:val="00555D82"/>
    <w:rsid w:val="005568AB"/>
    <w:rsid w:val="00557000"/>
    <w:rsid w:val="005574C5"/>
    <w:rsid w:val="0055798A"/>
    <w:rsid w:val="00557ACD"/>
    <w:rsid w:val="00557FA5"/>
    <w:rsid w:val="0056003D"/>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40B"/>
    <w:rsid w:val="00586DA6"/>
    <w:rsid w:val="0058746E"/>
    <w:rsid w:val="00587698"/>
    <w:rsid w:val="0058785D"/>
    <w:rsid w:val="00590266"/>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08"/>
    <w:rsid w:val="005D5E18"/>
    <w:rsid w:val="005D63FA"/>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E7EE5"/>
    <w:rsid w:val="005F08A7"/>
    <w:rsid w:val="005F14E1"/>
    <w:rsid w:val="005F1683"/>
    <w:rsid w:val="005F172A"/>
    <w:rsid w:val="005F1AA6"/>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0184"/>
    <w:rsid w:val="00601177"/>
    <w:rsid w:val="006013F1"/>
    <w:rsid w:val="006026F8"/>
    <w:rsid w:val="00602E7A"/>
    <w:rsid w:val="00603956"/>
    <w:rsid w:val="006042E7"/>
    <w:rsid w:val="006049EE"/>
    <w:rsid w:val="00605B30"/>
    <w:rsid w:val="00605F09"/>
    <w:rsid w:val="0060713D"/>
    <w:rsid w:val="00607BE6"/>
    <w:rsid w:val="00607C48"/>
    <w:rsid w:val="00610E6C"/>
    <w:rsid w:val="00611AD3"/>
    <w:rsid w:val="00612146"/>
    <w:rsid w:val="0061216F"/>
    <w:rsid w:val="006121D4"/>
    <w:rsid w:val="006126F6"/>
    <w:rsid w:val="0061375F"/>
    <w:rsid w:val="00613848"/>
    <w:rsid w:val="006140B8"/>
    <w:rsid w:val="00614210"/>
    <w:rsid w:val="006147A5"/>
    <w:rsid w:val="00614835"/>
    <w:rsid w:val="0061581B"/>
    <w:rsid w:val="0061588C"/>
    <w:rsid w:val="00615BC9"/>
    <w:rsid w:val="00615C81"/>
    <w:rsid w:val="00615DC1"/>
    <w:rsid w:val="006163E5"/>
    <w:rsid w:val="0061675A"/>
    <w:rsid w:val="00617672"/>
    <w:rsid w:val="006176B8"/>
    <w:rsid w:val="006179CD"/>
    <w:rsid w:val="00617ADC"/>
    <w:rsid w:val="00617D14"/>
    <w:rsid w:val="0062012B"/>
    <w:rsid w:val="006203EA"/>
    <w:rsid w:val="006204CC"/>
    <w:rsid w:val="00621BD2"/>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34BF"/>
    <w:rsid w:val="00633B10"/>
    <w:rsid w:val="00634030"/>
    <w:rsid w:val="00634433"/>
    <w:rsid w:val="00634936"/>
    <w:rsid w:val="006362D6"/>
    <w:rsid w:val="0063692A"/>
    <w:rsid w:val="006369E2"/>
    <w:rsid w:val="00636A4A"/>
    <w:rsid w:val="00636D6F"/>
    <w:rsid w:val="006370BE"/>
    <w:rsid w:val="006372AB"/>
    <w:rsid w:val="00637C16"/>
    <w:rsid w:val="00637ECB"/>
    <w:rsid w:val="00637F15"/>
    <w:rsid w:val="00640005"/>
    <w:rsid w:val="006404C4"/>
    <w:rsid w:val="00640F5E"/>
    <w:rsid w:val="00641764"/>
    <w:rsid w:val="00641859"/>
    <w:rsid w:val="00641BE8"/>
    <w:rsid w:val="00641EC1"/>
    <w:rsid w:val="0064366A"/>
    <w:rsid w:val="00643731"/>
    <w:rsid w:val="00643937"/>
    <w:rsid w:val="00643C9B"/>
    <w:rsid w:val="00643DAD"/>
    <w:rsid w:val="0064474F"/>
    <w:rsid w:val="00645CFD"/>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5803"/>
    <w:rsid w:val="00655A1E"/>
    <w:rsid w:val="00656118"/>
    <w:rsid w:val="00656F03"/>
    <w:rsid w:val="00657CF1"/>
    <w:rsid w:val="00657DDC"/>
    <w:rsid w:val="006603AC"/>
    <w:rsid w:val="00660463"/>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BE3"/>
    <w:rsid w:val="00672C34"/>
    <w:rsid w:val="00672F5A"/>
    <w:rsid w:val="0067368F"/>
    <w:rsid w:val="00673E96"/>
    <w:rsid w:val="006743B7"/>
    <w:rsid w:val="0067511C"/>
    <w:rsid w:val="0067561F"/>
    <w:rsid w:val="006761A1"/>
    <w:rsid w:val="00676314"/>
    <w:rsid w:val="00676B7B"/>
    <w:rsid w:val="006771CE"/>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2CF0"/>
    <w:rsid w:val="006934A7"/>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2366"/>
    <w:rsid w:val="006A305E"/>
    <w:rsid w:val="006A37A7"/>
    <w:rsid w:val="006A3AEF"/>
    <w:rsid w:val="006A3F3C"/>
    <w:rsid w:val="006A4C22"/>
    <w:rsid w:val="006A5D49"/>
    <w:rsid w:val="006A7099"/>
    <w:rsid w:val="006A7F61"/>
    <w:rsid w:val="006B0B88"/>
    <w:rsid w:val="006B0D74"/>
    <w:rsid w:val="006B1CCB"/>
    <w:rsid w:val="006B344A"/>
    <w:rsid w:val="006B3522"/>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1B58"/>
    <w:rsid w:val="006C2126"/>
    <w:rsid w:val="006C2782"/>
    <w:rsid w:val="006C2933"/>
    <w:rsid w:val="006C2BF6"/>
    <w:rsid w:val="006C2C82"/>
    <w:rsid w:val="006C2FDF"/>
    <w:rsid w:val="006C322E"/>
    <w:rsid w:val="006C324F"/>
    <w:rsid w:val="006C3678"/>
    <w:rsid w:val="006C3703"/>
    <w:rsid w:val="006C3F8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B0"/>
    <w:rsid w:val="006F5A3D"/>
    <w:rsid w:val="006F626D"/>
    <w:rsid w:val="006F6446"/>
    <w:rsid w:val="006F6B3E"/>
    <w:rsid w:val="006F7494"/>
    <w:rsid w:val="006F7DB6"/>
    <w:rsid w:val="007013E8"/>
    <w:rsid w:val="00701FEB"/>
    <w:rsid w:val="00702D43"/>
    <w:rsid w:val="007044C6"/>
    <w:rsid w:val="00705146"/>
    <w:rsid w:val="00705A25"/>
    <w:rsid w:val="00705BEA"/>
    <w:rsid w:val="0070616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422"/>
    <w:rsid w:val="00716676"/>
    <w:rsid w:val="00716FA6"/>
    <w:rsid w:val="00717415"/>
    <w:rsid w:val="007176F0"/>
    <w:rsid w:val="0072059E"/>
    <w:rsid w:val="00720639"/>
    <w:rsid w:val="0072103C"/>
    <w:rsid w:val="00721048"/>
    <w:rsid w:val="00721D49"/>
    <w:rsid w:val="007230A4"/>
    <w:rsid w:val="007232FF"/>
    <w:rsid w:val="007237EA"/>
    <w:rsid w:val="007243DC"/>
    <w:rsid w:val="00724FE4"/>
    <w:rsid w:val="00725AE5"/>
    <w:rsid w:val="00726D38"/>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894"/>
    <w:rsid w:val="007575B8"/>
    <w:rsid w:val="00757965"/>
    <w:rsid w:val="00757CE0"/>
    <w:rsid w:val="00760751"/>
    <w:rsid w:val="00760CD8"/>
    <w:rsid w:val="00760FA9"/>
    <w:rsid w:val="0076144A"/>
    <w:rsid w:val="007627B7"/>
    <w:rsid w:val="00763128"/>
    <w:rsid w:val="007631BC"/>
    <w:rsid w:val="007633D4"/>
    <w:rsid w:val="007634C0"/>
    <w:rsid w:val="00763956"/>
    <w:rsid w:val="00763B97"/>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548"/>
    <w:rsid w:val="007726C7"/>
    <w:rsid w:val="00774250"/>
    <w:rsid w:val="00774A36"/>
    <w:rsid w:val="00775180"/>
    <w:rsid w:val="00775550"/>
    <w:rsid w:val="007756ED"/>
    <w:rsid w:val="00775DC3"/>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2A25"/>
    <w:rsid w:val="0079301A"/>
    <w:rsid w:val="007936A8"/>
    <w:rsid w:val="00793A6D"/>
    <w:rsid w:val="00793BD4"/>
    <w:rsid w:val="00793D2F"/>
    <w:rsid w:val="00793FA3"/>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E8B"/>
    <w:rsid w:val="007A4810"/>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5BBD"/>
    <w:rsid w:val="007B682B"/>
    <w:rsid w:val="007B6DAF"/>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9F"/>
    <w:rsid w:val="007E6E8F"/>
    <w:rsid w:val="007E73DE"/>
    <w:rsid w:val="007E79D7"/>
    <w:rsid w:val="007F1012"/>
    <w:rsid w:val="007F139F"/>
    <w:rsid w:val="007F1BAD"/>
    <w:rsid w:val="007F1FA7"/>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9CF"/>
    <w:rsid w:val="00804F16"/>
    <w:rsid w:val="0080523E"/>
    <w:rsid w:val="008061EC"/>
    <w:rsid w:val="00806579"/>
    <w:rsid w:val="00806876"/>
    <w:rsid w:val="00811174"/>
    <w:rsid w:val="00811762"/>
    <w:rsid w:val="008119C5"/>
    <w:rsid w:val="00811B49"/>
    <w:rsid w:val="00811CBC"/>
    <w:rsid w:val="00812023"/>
    <w:rsid w:val="008127B8"/>
    <w:rsid w:val="008134AE"/>
    <w:rsid w:val="00813661"/>
    <w:rsid w:val="00813DD6"/>
    <w:rsid w:val="00813F9F"/>
    <w:rsid w:val="00814786"/>
    <w:rsid w:val="00814DCC"/>
    <w:rsid w:val="00815D0F"/>
    <w:rsid w:val="00815E48"/>
    <w:rsid w:val="008160C8"/>
    <w:rsid w:val="0081624D"/>
    <w:rsid w:val="008163F2"/>
    <w:rsid w:val="00816802"/>
    <w:rsid w:val="00816811"/>
    <w:rsid w:val="008178D9"/>
    <w:rsid w:val="00820300"/>
    <w:rsid w:val="008204D8"/>
    <w:rsid w:val="00821434"/>
    <w:rsid w:val="00822041"/>
    <w:rsid w:val="00822759"/>
    <w:rsid w:val="00824DF6"/>
    <w:rsid w:val="0082558A"/>
    <w:rsid w:val="00825C99"/>
    <w:rsid w:val="00826C47"/>
    <w:rsid w:val="00827B8E"/>
    <w:rsid w:val="0083203D"/>
    <w:rsid w:val="008327BE"/>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3E22"/>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2034"/>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1B7"/>
    <w:rsid w:val="00875B0E"/>
    <w:rsid w:val="00875CFB"/>
    <w:rsid w:val="00875EAF"/>
    <w:rsid w:val="00875ED5"/>
    <w:rsid w:val="00876CA0"/>
    <w:rsid w:val="00876E0A"/>
    <w:rsid w:val="00877372"/>
    <w:rsid w:val="008777DB"/>
    <w:rsid w:val="008807AE"/>
    <w:rsid w:val="0088094C"/>
    <w:rsid w:val="00880B59"/>
    <w:rsid w:val="00880B5D"/>
    <w:rsid w:val="00880C14"/>
    <w:rsid w:val="0088142A"/>
    <w:rsid w:val="00881788"/>
    <w:rsid w:val="00881A83"/>
    <w:rsid w:val="008823A3"/>
    <w:rsid w:val="0088256B"/>
    <w:rsid w:val="008828C6"/>
    <w:rsid w:val="008828FB"/>
    <w:rsid w:val="00883915"/>
    <w:rsid w:val="00884B82"/>
    <w:rsid w:val="00885CF3"/>
    <w:rsid w:val="00885D48"/>
    <w:rsid w:val="00885FFC"/>
    <w:rsid w:val="008864FB"/>
    <w:rsid w:val="008866A2"/>
    <w:rsid w:val="008867EF"/>
    <w:rsid w:val="00887401"/>
    <w:rsid w:val="008904B8"/>
    <w:rsid w:val="00890638"/>
    <w:rsid w:val="00890898"/>
    <w:rsid w:val="00891337"/>
    <w:rsid w:val="00891DCD"/>
    <w:rsid w:val="008927DE"/>
    <w:rsid w:val="008943CE"/>
    <w:rsid w:val="008947F5"/>
    <w:rsid w:val="008948AD"/>
    <w:rsid w:val="00894BA6"/>
    <w:rsid w:val="00894C91"/>
    <w:rsid w:val="008955B7"/>
    <w:rsid w:val="00896078"/>
    <w:rsid w:val="00896A2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58E"/>
    <w:rsid w:val="008A68D1"/>
    <w:rsid w:val="008A6C7F"/>
    <w:rsid w:val="008A7927"/>
    <w:rsid w:val="008A7B7E"/>
    <w:rsid w:val="008B0CE2"/>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1DF"/>
    <w:rsid w:val="008F022F"/>
    <w:rsid w:val="008F039D"/>
    <w:rsid w:val="008F04B0"/>
    <w:rsid w:val="008F0A73"/>
    <w:rsid w:val="008F11C8"/>
    <w:rsid w:val="008F2195"/>
    <w:rsid w:val="008F284F"/>
    <w:rsid w:val="008F29A1"/>
    <w:rsid w:val="008F2AB2"/>
    <w:rsid w:val="008F3730"/>
    <w:rsid w:val="008F3DF3"/>
    <w:rsid w:val="008F41E1"/>
    <w:rsid w:val="008F4656"/>
    <w:rsid w:val="008F4EDC"/>
    <w:rsid w:val="008F66E7"/>
    <w:rsid w:val="008F76A3"/>
    <w:rsid w:val="00900B1E"/>
    <w:rsid w:val="00900FCD"/>
    <w:rsid w:val="0090300F"/>
    <w:rsid w:val="00903588"/>
    <w:rsid w:val="009039F1"/>
    <w:rsid w:val="00903B7D"/>
    <w:rsid w:val="00903DE5"/>
    <w:rsid w:val="009041E2"/>
    <w:rsid w:val="00904498"/>
    <w:rsid w:val="00905176"/>
    <w:rsid w:val="009057D9"/>
    <w:rsid w:val="009057E2"/>
    <w:rsid w:val="00905FCC"/>
    <w:rsid w:val="009061FE"/>
    <w:rsid w:val="00906BDB"/>
    <w:rsid w:val="00906FB7"/>
    <w:rsid w:val="00907463"/>
    <w:rsid w:val="00907D11"/>
    <w:rsid w:val="00910EAA"/>
    <w:rsid w:val="00910F5F"/>
    <w:rsid w:val="0091168C"/>
    <w:rsid w:val="00911864"/>
    <w:rsid w:val="00912454"/>
    <w:rsid w:val="00912637"/>
    <w:rsid w:val="009129F1"/>
    <w:rsid w:val="00913182"/>
    <w:rsid w:val="00913ACC"/>
    <w:rsid w:val="00913BEB"/>
    <w:rsid w:val="00913E30"/>
    <w:rsid w:val="00914317"/>
    <w:rsid w:val="00914EEE"/>
    <w:rsid w:val="009152C6"/>
    <w:rsid w:val="00916DF2"/>
    <w:rsid w:val="00917B70"/>
    <w:rsid w:val="00920965"/>
    <w:rsid w:val="00921171"/>
    <w:rsid w:val="009216B6"/>
    <w:rsid w:val="00922A53"/>
    <w:rsid w:val="0092307C"/>
    <w:rsid w:val="009231D3"/>
    <w:rsid w:val="0092344C"/>
    <w:rsid w:val="00924945"/>
    <w:rsid w:val="00924D28"/>
    <w:rsid w:val="00924D62"/>
    <w:rsid w:val="0092593F"/>
    <w:rsid w:val="009260B9"/>
    <w:rsid w:val="009269C8"/>
    <w:rsid w:val="00927630"/>
    <w:rsid w:val="00927D5F"/>
    <w:rsid w:val="00930098"/>
    <w:rsid w:val="00930D8E"/>
    <w:rsid w:val="00931814"/>
    <w:rsid w:val="00931C11"/>
    <w:rsid w:val="0093219B"/>
    <w:rsid w:val="009322D3"/>
    <w:rsid w:val="009326A6"/>
    <w:rsid w:val="00932D7B"/>
    <w:rsid w:val="00932E57"/>
    <w:rsid w:val="009332D3"/>
    <w:rsid w:val="00933FD7"/>
    <w:rsid w:val="009341DB"/>
    <w:rsid w:val="0093429F"/>
    <w:rsid w:val="009346D0"/>
    <w:rsid w:val="00935100"/>
    <w:rsid w:val="00935328"/>
    <w:rsid w:val="00935401"/>
    <w:rsid w:val="009358D0"/>
    <w:rsid w:val="009362CC"/>
    <w:rsid w:val="00936B4D"/>
    <w:rsid w:val="00936BBD"/>
    <w:rsid w:val="00936C2E"/>
    <w:rsid w:val="00936D85"/>
    <w:rsid w:val="00937D72"/>
    <w:rsid w:val="009403CB"/>
    <w:rsid w:val="00940E5B"/>
    <w:rsid w:val="00941445"/>
    <w:rsid w:val="009427FE"/>
    <w:rsid w:val="00942B70"/>
    <w:rsid w:val="00942F02"/>
    <w:rsid w:val="00943F90"/>
    <w:rsid w:val="00944092"/>
    <w:rsid w:val="009450D2"/>
    <w:rsid w:val="009454D3"/>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D24"/>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D34"/>
    <w:rsid w:val="00962F4F"/>
    <w:rsid w:val="009630F6"/>
    <w:rsid w:val="009643C6"/>
    <w:rsid w:val="0096573D"/>
    <w:rsid w:val="0096641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CB2"/>
    <w:rsid w:val="00991D73"/>
    <w:rsid w:val="00991EFB"/>
    <w:rsid w:val="00992766"/>
    <w:rsid w:val="00992960"/>
    <w:rsid w:val="00992CAE"/>
    <w:rsid w:val="00992CF1"/>
    <w:rsid w:val="00993209"/>
    <w:rsid w:val="00993472"/>
    <w:rsid w:val="00993DFA"/>
    <w:rsid w:val="00993E22"/>
    <w:rsid w:val="00994E84"/>
    <w:rsid w:val="00996B6E"/>
    <w:rsid w:val="009972A4"/>
    <w:rsid w:val="00997759"/>
    <w:rsid w:val="00997C03"/>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B067C"/>
    <w:rsid w:val="009B13A0"/>
    <w:rsid w:val="009B286F"/>
    <w:rsid w:val="009B2C8D"/>
    <w:rsid w:val="009B2F08"/>
    <w:rsid w:val="009B371B"/>
    <w:rsid w:val="009B392C"/>
    <w:rsid w:val="009B4B46"/>
    <w:rsid w:val="009B563A"/>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8C9"/>
    <w:rsid w:val="009C4904"/>
    <w:rsid w:val="009C7A93"/>
    <w:rsid w:val="009D052A"/>
    <w:rsid w:val="009D0C36"/>
    <w:rsid w:val="009D1699"/>
    <w:rsid w:val="009D2A6C"/>
    <w:rsid w:val="009D348E"/>
    <w:rsid w:val="009D4A03"/>
    <w:rsid w:val="009D4FEE"/>
    <w:rsid w:val="009D5082"/>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0FD6"/>
    <w:rsid w:val="009F18AC"/>
    <w:rsid w:val="009F2420"/>
    <w:rsid w:val="009F3002"/>
    <w:rsid w:val="009F31F4"/>
    <w:rsid w:val="009F33ED"/>
    <w:rsid w:val="009F4D03"/>
    <w:rsid w:val="009F5279"/>
    <w:rsid w:val="009F5E07"/>
    <w:rsid w:val="009F5E5D"/>
    <w:rsid w:val="009F5E8D"/>
    <w:rsid w:val="009F73FD"/>
    <w:rsid w:val="009F764A"/>
    <w:rsid w:val="009F7725"/>
    <w:rsid w:val="009F77A2"/>
    <w:rsid w:val="009F7F37"/>
    <w:rsid w:val="00A00F54"/>
    <w:rsid w:val="00A014E1"/>
    <w:rsid w:val="00A01528"/>
    <w:rsid w:val="00A02710"/>
    <w:rsid w:val="00A02B6E"/>
    <w:rsid w:val="00A02FE6"/>
    <w:rsid w:val="00A0358E"/>
    <w:rsid w:val="00A03998"/>
    <w:rsid w:val="00A03AAC"/>
    <w:rsid w:val="00A03F9C"/>
    <w:rsid w:val="00A0466D"/>
    <w:rsid w:val="00A047C6"/>
    <w:rsid w:val="00A058D9"/>
    <w:rsid w:val="00A06A84"/>
    <w:rsid w:val="00A06C04"/>
    <w:rsid w:val="00A06D49"/>
    <w:rsid w:val="00A07987"/>
    <w:rsid w:val="00A10167"/>
    <w:rsid w:val="00A108BA"/>
    <w:rsid w:val="00A110EF"/>
    <w:rsid w:val="00A119AD"/>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BE4"/>
    <w:rsid w:val="00A16EF0"/>
    <w:rsid w:val="00A1731E"/>
    <w:rsid w:val="00A17AAF"/>
    <w:rsid w:val="00A20EFA"/>
    <w:rsid w:val="00A22D49"/>
    <w:rsid w:val="00A230BC"/>
    <w:rsid w:val="00A23E61"/>
    <w:rsid w:val="00A24D7C"/>
    <w:rsid w:val="00A25280"/>
    <w:rsid w:val="00A25891"/>
    <w:rsid w:val="00A25D04"/>
    <w:rsid w:val="00A26307"/>
    <w:rsid w:val="00A263C6"/>
    <w:rsid w:val="00A2657B"/>
    <w:rsid w:val="00A269CF"/>
    <w:rsid w:val="00A26D24"/>
    <w:rsid w:val="00A2742D"/>
    <w:rsid w:val="00A303CB"/>
    <w:rsid w:val="00A303F6"/>
    <w:rsid w:val="00A30596"/>
    <w:rsid w:val="00A3065C"/>
    <w:rsid w:val="00A306BD"/>
    <w:rsid w:val="00A314DD"/>
    <w:rsid w:val="00A31B1F"/>
    <w:rsid w:val="00A321C6"/>
    <w:rsid w:val="00A32AD4"/>
    <w:rsid w:val="00A3302D"/>
    <w:rsid w:val="00A33529"/>
    <w:rsid w:val="00A33BE7"/>
    <w:rsid w:val="00A33F59"/>
    <w:rsid w:val="00A346DD"/>
    <w:rsid w:val="00A359A1"/>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47A28"/>
    <w:rsid w:val="00A50579"/>
    <w:rsid w:val="00A5060E"/>
    <w:rsid w:val="00A5083C"/>
    <w:rsid w:val="00A50F88"/>
    <w:rsid w:val="00A51744"/>
    <w:rsid w:val="00A51B01"/>
    <w:rsid w:val="00A51CC9"/>
    <w:rsid w:val="00A51DC5"/>
    <w:rsid w:val="00A525F7"/>
    <w:rsid w:val="00A52BDE"/>
    <w:rsid w:val="00A52D83"/>
    <w:rsid w:val="00A5313A"/>
    <w:rsid w:val="00A53412"/>
    <w:rsid w:val="00A53C37"/>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4725"/>
    <w:rsid w:val="00A64FB3"/>
    <w:rsid w:val="00A65245"/>
    <w:rsid w:val="00A65462"/>
    <w:rsid w:val="00A6754C"/>
    <w:rsid w:val="00A700EF"/>
    <w:rsid w:val="00A701A5"/>
    <w:rsid w:val="00A702A7"/>
    <w:rsid w:val="00A703E5"/>
    <w:rsid w:val="00A7130A"/>
    <w:rsid w:val="00A72492"/>
    <w:rsid w:val="00A73635"/>
    <w:rsid w:val="00A73C5F"/>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3A50"/>
    <w:rsid w:val="00A84014"/>
    <w:rsid w:val="00A8444F"/>
    <w:rsid w:val="00A844BE"/>
    <w:rsid w:val="00A846D6"/>
    <w:rsid w:val="00A85051"/>
    <w:rsid w:val="00A864F4"/>
    <w:rsid w:val="00A86B88"/>
    <w:rsid w:val="00A86CE3"/>
    <w:rsid w:val="00A8700B"/>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62A8"/>
    <w:rsid w:val="00AC6CE2"/>
    <w:rsid w:val="00AD0D1E"/>
    <w:rsid w:val="00AD1316"/>
    <w:rsid w:val="00AD1DD0"/>
    <w:rsid w:val="00AD1E10"/>
    <w:rsid w:val="00AD2CBB"/>
    <w:rsid w:val="00AD2EF1"/>
    <w:rsid w:val="00AD3E3C"/>
    <w:rsid w:val="00AD46ED"/>
    <w:rsid w:val="00AD4768"/>
    <w:rsid w:val="00AD4BCC"/>
    <w:rsid w:val="00AD4F13"/>
    <w:rsid w:val="00AD55CB"/>
    <w:rsid w:val="00AD55D2"/>
    <w:rsid w:val="00AD5A55"/>
    <w:rsid w:val="00AD5A92"/>
    <w:rsid w:val="00AD5B7E"/>
    <w:rsid w:val="00AD5CBB"/>
    <w:rsid w:val="00AD68DD"/>
    <w:rsid w:val="00AD6EBB"/>
    <w:rsid w:val="00AD7144"/>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F91"/>
    <w:rsid w:val="00AE54C6"/>
    <w:rsid w:val="00AE5586"/>
    <w:rsid w:val="00AE5B4A"/>
    <w:rsid w:val="00AE5F52"/>
    <w:rsid w:val="00AE61EF"/>
    <w:rsid w:val="00AE6245"/>
    <w:rsid w:val="00AE6A72"/>
    <w:rsid w:val="00AE7D92"/>
    <w:rsid w:val="00AF00A2"/>
    <w:rsid w:val="00AF0139"/>
    <w:rsid w:val="00AF0411"/>
    <w:rsid w:val="00AF08E9"/>
    <w:rsid w:val="00AF0F8E"/>
    <w:rsid w:val="00AF1020"/>
    <w:rsid w:val="00AF12C3"/>
    <w:rsid w:val="00AF16A2"/>
    <w:rsid w:val="00AF1AC2"/>
    <w:rsid w:val="00AF20A2"/>
    <w:rsid w:val="00AF2607"/>
    <w:rsid w:val="00AF2C65"/>
    <w:rsid w:val="00AF30DA"/>
    <w:rsid w:val="00AF32CC"/>
    <w:rsid w:val="00AF398B"/>
    <w:rsid w:val="00AF3E34"/>
    <w:rsid w:val="00AF3F59"/>
    <w:rsid w:val="00AF40DE"/>
    <w:rsid w:val="00AF47DF"/>
    <w:rsid w:val="00AF5D96"/>
    <w:rsid w:val="00AF6AB2"/>
    <w:rsid w:val="00AF6DD7"/>
    <w:rsid w:val="00AF7B6E"/>
    <w:rsid w:val="00B00C4C"/>
    <w:rsid w:val="00B00E7E"/>
    <w:rsid w:val="00B00F13"/>
    <w:rsid w:val="00B018B9"/>
    <w:rsid w:val="00B01FE0"/>
    <w:rsid w:val="00B02692"/>
    <w:rsid w:val="00B02719"/>
    <w:rsid w:val="00B03E87"/>
    <w:rsid w:val="00B03FFD"/>
    <w:rsid w:val="00B043C1"/>
    <w:rsid w:val="00B0473F"/>
    <w:rsid w:val="00B04959"/>
    <w:rsid w:val="00B05121"/>
    <w:rsid w:val="00B054AB"/>
    <w:rsid w:val="00B063E2"/>
    <w:rsid w:val="00B06841"/>
    <w:rsid w:val="00B06EDB"/>
    <w:rsid w:val="00B07331"/>
    <w:rsid w:val="00B07EF4"/>
    <w:rsid w:val="00B10419"/>
    <w:rsid w:val="00B10EED"/>
    <w:rsid w:val="00B11517"/>
    <w:rsid w:val="00B12111"/>
    <w:rsid w:val="00B127CC"/>
    <w:rsid w:val="00B128AE"/>
    <w:rsid w:val="00B12B0E"/>
    <w:rsid w:val="00B12B5D"/>
    <w:rsid w:val="00B132E7"/>
    <w:rsid w:val="00B1353C"/>
    <w:rsid w:val="00B137B8"/>
    <w:rsid w:val="00B13FB6"/>
    <w:rsid w:val="00B140FC"/>
    <w:rsid w:val="00B14D76"/>
    <w:rsid w:val="00B14DCD"/>
    <w:rsid w:val="00B153B3"/>
    <w:rsid w:val="00B157BD"/>
    <w:rsid w:val="00B16FB1"/>
    <w:rsid w:val="00B17440"/>
    <w:rsid w:val="00B17820"/>
    <w:rsid w:val="00B17958"/>
    <w:rsid w:val="00B17F0A"/>
    <w:rsid w:val="00B243A0"/>
    <w:rsid w:val="00B24DAE"/>
    <w:rsid w:val="00B25129"/>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6516"/>
    <w:rsid w:val="00B36A58"/>
    <w:rsid w:val="00B40E79"/>
    <w:rsid w:val="00B4181F"/>
    <w:rsid w:val="00B41A4F"/>
    <w:rsid w:val="00B41C7F"/>
    <w:rsid w:val="00B41F6B"/>
    <w:rsid w:val="00B4215E"/>
    <w:rsid w:val="00B4242D"/>
    <w:rsid w:val="00B428BA"/>
    <w:rsid w:val="00B42CCD"/>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0F"/>
    <w:rsid w:val="00B544B1"/>
    <w:rsid w:val="00B54779"/>
    <w:rsid w:val="00B54FC9"/>
    <w:rsid w:val="00B555ED"/>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40D8"/>
    <w:rsid w:val="00B7494F"/>
    <w:rsid w:val="00B74CE2"/>
    <w:rsid w:val="00B74EC4"/>
    <w:rsid w:val="00B74FCA"/>
    <w:rsid w:val="00B75208"/>
    <w:rsid w:val="00B75A29"/>
    <w:rsid w:val="00B75A9C"/>
    <w:rsid w:val="00B76193"/>
    <w:rsid w:val="00B7657B"/>
    <w:rsid w:val="00B77E16"/>
    <w:rsid w:val="00B802E1"/>
    <w:rsid w:val="00B806DD"/>
    <w:rsid w:val="00B80C2A"/>
    <w:rsid w:val="00B80EAA"/>
    <w:rsid w:val="00B81071"/>
    <w:rsid w:val="00B813D5"/>
    <w:rsid w:val="00B8174F"/>
    <w:rsid w:val="00B81B08"/>
    <w:rsid w:val="00B81F4F"/>
    <w:rsid w:val="00B82920"/>
    <w:rsid w:val="00B8321C"/>
    <w:rsid w:val="00B8370F"/>
    <w:rsid w:val="00B83727"/>
    <w:rsid w:val="00B84259"/>
    <w:rsid w:val="00B842A4"/>
    <w:rsid w:val="00B85577"/>
    <w:rsid w:val="00B85EBA"/>
    <w:rsid w:val="00B85EE3"/>
    <w:rsid w:val="00B869A2"/>
    <w:rsid w:val="00B86D74"/>
    <w:rsid w:val="00B86D95"/>
    <w:rsid w:val="00B86DE1"/>
    <w:rsid w:val="00B87C59"/>
    <w:rsid w:val="00B87F5E"/>
    <w:rsid w:val="00B90481"/>
    <w:rsid w:val="00B90BF4"/>
    <w:rsid w:val="00B90D08"/>
    <w:rsid w:val="00B91091"/>
    <w:rsid w:val="00B91A74"/>
    <w:rsid w:val="00B91F2F"/>
    <w:rsid w:val="00B91F34"/>
    <w:rsid w:val="00B922F0"/>
    <w:rsid w:val="00B92843"/>
    <w:rsid w:val="00B92911"/>
    <w:rsid w:val="00B92CB4"/>
    <w:rsid w:val="00B935C1"/>
    <w:rsid w:val="00B94292"/>
    <w:rsid w:val="00B9485B"/>
    <w:rsid w:val="00B9490A"/>
    <w:rsid w:val="00B9495B"/>
    <w:rsid w:val="00B950D8"/>
    <w:rsid w:val="00B951CE"/>
    <w:rsid w:val="00B951EB"/>
    <w:rsid w:val="00B952E3"/>
    <w:rsid w:val="00B95D69"/>
    <w:rsid w:val="00B97239"/>
    <w:rsid w:val="00BA0010"/>
    <w:rsid w:val="00BA058F"/>
    <w:rsid w:val="00BA061F"/>
    <w:rsid w:val="00BA0BFE"/>
    <w:rsid w:val="00BA0E9E"/>
    <w:rsid w:val="00BA17CB"/>
    <w:rsid w:val="00BA184B"/>
    <w:rsid w:val="00BA1894"/>
    <w:rsid w:val="00BA19EE"/>
    <w:rsid w:val="00BA213A"/>
    <w:rsid w:val="00BA21DB"/>
    <w:rsid w:val="00BA2557"/>
    <w:rsid w:val="00BA25F4"/>
    <w:rsid w:val="00BA26D5"/>
    <w:rsid w:val="00BA2A77"/>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4719"/>
    <w:rsid w:val="00BD4CEC"/>
    <w:rsid w:val="00BD4F61"/>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EA8"/>
    <w:rsid w:val="00BF469C"/>
    <w:rsid w:val="00BF55B6"/>
    <w:rsid w:val="00BF5C23"/>
    <w:rsid w:val="00BF670A"/>
    <w:rsid w:val="00BF6782"/>
    <w:rsid w:val="00BF7794"/>
    <w:rsid w:val="00BF7A2F"/>
    <w:rsid w:val="00C001FD"/>
    <w:rsid w:val="00C00927"/>
    <w:rsid w:val="00C00CFE"/>
    <w:rsid w:val="00C02CEF"/>
    <w:rsid w:val="00C02E02"/>
    <w:rsid w:val="00C03625"/>
    <w:rsid w:val="00C0383E"/>
    <w:rsid w:val="00C0446E"/>
    <w:rsid w:val="00C045B2"/>
    <w:rsid w:val="00C049FB"/>
    <w:rsid w:val="00C04A14"/>
    <w:rsid w:val="00C07B82"/>
    <w:rsid w:val="00C10293"/>
    <w:rsid w:val="00C10469"/>
    <w:rsid w:val="00C10693"/>
    <w:rsid w:val="00C11059"/>
    <w:rsid w:val="00C1172E"/>
    <w:rsid w:val="00C1245A"/>
    <w:rsid w:val="00C12AB9"/>
    <w:rsid w:val="00C13A5D"/>
    <w:rsid w:val="00C13A66"/>
    <w:rsid w:val="00C13AFF"/>
    <w:rsid w:val="00C14248"/>
    <w:rsid w:val="00C148D7"/>
    <w:rsid w:val="00C14970"/>
    <w:rsid w:val="00C15A30"/>
    <w:rsid w:val="00C15EAF"/>
    <w:rsid w:val="00C15EB5"/>
    <w:rsid w:val="00C15F87"/>
    <w:rsid w:val="00C16498"/>
    <w:rsid w:val="00C16995"/>
    <w:rsid w:val="00C174AA"/>
    <w:rsid w:val="00C17A73"/>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2751"/>
    <w:rsid w:val="00C4313A"/>
    <w:rsid w:val="00C43985"/>
    <w:rsid w:val="00C43BFF"/>
    <w:rsid w:val="00C44288"/>
    <w:rsid w:val="00C4440A"/>
    <w:rsid w:val="00C44F88"/>
    <w:rsid w:val="00C45B48"/>
    <w:rsid w:val="00C45FA1"/>
    <w:rsid w:val="00C464DA"/>
    <w:rsid w:val="00C46585"/>
    <w:rsid w:val="00C465BC"/>
    <w:rsid w:val="00C46A82"/>
    <w:rsid w:val="00C46FF1"/>
    <w:rsid w:val="00C47174"/>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78EB"/>
    <w:rsid w:val="00C67DF9"/>
    <w:rsid w:val="00C70295"/>
    <w:rsid w:val="00C702F9"/>
    <w:rsid w:val="00C706E5"/>
    <w:rsid w:val="00C71231"/>
    <w:rsid w:val="00C718CD"/>
    <w:rsid w:val="00C71BE9"/>
    <w:rsid w:val="00C721C9"/>
    <w:rsid w:val="00C73150"/>
    <w:rsid w:val="00C744C9"/>
    <w:rsid w:val="00C75102"/>
    <w:rsid w:val="00C75EC4"/>
    <w:rsid w:val="00C760F3"/>
    <w:rsid w:val="00C761A9"/>
    <w:rsid w:val="00C76A43"/>
    <w:rsid w:val="00C808C1"/>
    <w:rsid w:val="00C8158C"/>
    <w:rsid w:val="00C817D6"/>
    <w:rsid w:val="00C81A82"/>
    <w:rsid w:val="00C8230F"/>
    <w:rsid w:val="00C82D0C"/>
    <w:rsid w:val="00C83164"/>
    <w:rsid w:val="00C83D13"/>
    <w:rsid w:val="00C84407"/>
    <w:rsid w:val="00C847B4"/>
    <w:rsid w:val="00C84C0B"/>
    <w:rsid w:val="00C85275"/>
    <w:rsid w:val="00C85367"/>
    <w:rsid w:val="00C853CC"/>
    <w:rsid w:val="00C85A8F"/>
    <w:rsid w:val="00C86339"/>
    <w:rsid w:val="00C86A59"/>
    <w:rsid w:val="00C87417"/>
    <w:rsid w:val="00C87919"/>
    <w:rsid w:val="00C879F1"/>
    <w:rsid w:val="00C87C75"/>
    <w:rsid w:val="00C90441"/>
    <w:rsid w:val="00C90548"/>
    <w:rsid w:val="00C90A20"/>
    <w:rsid w:val="00C90B3B"/>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4A08"/>
    <w:rsid w:val="00CA5502"/>
    <w:rsid w:val="00CA5C35"/>
    <w:rsid w:val="00CA6ACC"/>
    <w:rsid w:val="00CA73D7"/>
    <w:rsid w:val="00CA7733"/>
    <w:rsid w:val="00CA7ACB"/>
    <w:rsid w:val="00CB0E1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D19"/>
    <w:rsid w:val="00CB7A6F"/>
    <w:rsid w:val="00CB7AA3"/>
    <w:rsid w:val="00CC0AB4"/>
    <w:rsid w:val="00CC0DB4"/>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2BD"/>
    <w:rsid w:val="00CE547E"/>
    <w:rsid w:val="00CE577D"/>
    <w:rsid w:val="00CE58E8"/>
    <w:rsid w:val="00CE5B08"/>
    <w:rsid w:val="00CE642A"/>
    <w:rsid w:val="00CE670D"/>
    <w:rsid w:val="00CE71A8"/>
    <w:rsid w:val="00CE72C7"/>
    <w:rsid w:val="00CE7984"/>
    <w:rsid w:val="00CF02D1"/>
    <w:rsid w:val="00CF062A"/>
    <w:rsid w:val="00CF11B3"/>
    <w:rsid w:val="00CF2295"/>
    <w:rsid w:val="00CF2577"/>
    <w:rsid w:val="00CF2721"/>
    <w:rsid w:val="00CF2C69"/>
    <w:rsid w:val="00CF3AB6"/>
    <w:rsid w:val="00CF456C"/>
    <w:rsid w:val="00CF49A5"/>
    <w:rsid w:val="00CF5475"/>
    <w:rsid w:val="00CF55FA"/>
    <w:rsid w:val="00CF5823"/>
    <w:rsid w:val="00CF5DEB"/>
    <w:rsid w:val="00CF68DE"/>
    <w:rsid w:val="00CF6A71"/>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4AB1"/>
    <w:rsid w:val="00D14F46"/>
    <w:rsid w:val="00D1563D"/>
    <w:rsid w:val="00D15B52"/>
    <w:rsid w:val="00D1612B"/>
    <w:rsid w:val="00D1624F"/>
    <w:rsid w:val="00D162C6"/>
    <w:rsid w:val="00D16975"/>
    <w:rsid w:val="00D16AD8"/>
    <w:rsid w:val="00D16E7A"/>
    <w:rsid w:val="00D17415"/>
    <w:rsid w:val="00D175C4"/>
    <w:rsid w:val="00D203E1"/>
    <w:rsid w:val="00D205CA"/>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124D"/>
    <w:rsid w:val="00D325D0"/>
    <w:rsid w:val="00D33951"/>
    <w:rsid w:val="00D34004"/>
    <w:rsid w:val="00D34302"/>
    <w:rsid w:val="00D3433F"/>
    <w:rsid w:val="00D34C6A"/>
    <w:rsid w:val="00D34DF9"/>
    <w:rsid w:val="00D3512D"/>
    <w:rsid w:val="00D353C6"/>
    <w:rsid w:val="00D35DA8"/>
    <w:rsid w:val="00D36B44"/>
    <w:rsid w:val="00D379DD"/>
    <w:rsid w:val="00D37DB1"/>
    <w:rsid w:val="00D405F9"/>
    <w:rsid w:val="00D405FC"/>
    <w:rsid w:val="00D4139A"/>
    <w:rsid w:val="00D41BA2"/>
    <w:rsid w:val="00D42384"/>
    <w:rsid w:val="00D42875"/>
    <w:rsid w:val="00D42AAE"/>
    <w:rsid w:val="00D43896"/>
    <w:rsid w:val="00D439F8"/>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4DDF"/>
    <w:rsid w:val="00D55046"/>
    <w:rsid w:val="00D557BC"/>
    <w:rsid w:val="00D557FA"/>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67E77"/>
    <w:rsid w:val="00D707B3"/>
    <w:rsid w:val="00D71401"/>
    <w:rsid w:val="00D718F5"/>
    <w:rsid w:val="00D71F7F"/>
    <w:rsid w:val="00D722CE"/>
    <w:rsid w:val="00D72919"/>
    <w:rsid w:val="00D729A6"/>
    <w:rsid w:val="00D73279"/>
    <w:rsid w:val="00D744AC"/>
    <w:rsid w:val="00D74F90"/>
    <w:rsid w:val="00D75179"/>
    <w:rsid w:val="00D757EC"/>
    <w:rsid w:val="00D758FA"/>
    <w:rsid w:val="00D76765"/>
    <w:rsid w:val="00D7724D"/>
    <w:rsid w:val="00D77446"/>
    <w:rsid w:val="00D7796E"/>
    <w:rsid w:val="00D77BFB"/>
    <w:rsid w:val="00D77D4F"/>
    <w:rsid w:val="00D77EAE"/>
    <w:rsid w:val="00D80DD9"/>
    <w:rsid w:val="00D8144D"/>
    <w:rsid w:val="00D82264"/>
    <w:rsid w:val="00D8240D"/>
    <w:rsid w:val="00D828A0"/>
    <w:rsid w:val="00D82A51"/>
    <w:rsid w:val="00D82F01"/>
    <w:rsid w:val="00D82FAF"/>
    <w:rsid w:val="00D83353"/>
    <w:rsid w:val="00D8437D"/>
    <w:rsid w:val="00D84781"/>
    <w:rsid w:val="00D84790"/>
    <w:rsid w:val="00D8485D"/>
    <w:rsid w:val="00D8565C"/>
    <w:rsid w:val="00D85BD3"/>
    <w:rsid w:val="00D86017"/>
    <w:rsid w:val="00D87040"/>
    <w:rsid w:val="00D8764F"/>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5AD4"/>
    <w:rsid w:val="00DA5F07"/>
    <w:rsid w:val="00DA602A"/>
    <w:rsid w:val="00DA672A"/>
    <w:rsid w:val="00DA708A"/>
    <w:rsid w:val="00DA7117"/>
    <w:rsid w:val="00DA7CCE"/>
    <w:rsid w:val="00DB1167"/>
    <w:rsid w:val="00DB1360"/>
    <w:rsid w:val="00DB19B0"/>
    <w:rsid w:val="00DB21EC"/>
    <w:rsid w:val="00DB26FB"/>
    <w:rsid w:val="00DB2CEA"/>
    <w:rsid w:val="00DB2DC0"/>
    <w:rsid w:val="00DB3A64"/>
    <w:rsid w:val="00DB436B"/>
    <w:rsid w:val="00DB51B3"/>
    <w:rsid w:val="00DB5E0F"/>
    <w:rsid w:val="00DB6A15"/>
    <w:rsid w:val="00DB70BE"/>
    <w:rsid w:val="00DB7EB6"/>
    <w:rsid w:val="00DB7F67"/>
    <w:rsid w:val="00DC0FBB"/>
    <w:rsid w:val="00DC12BC"/>
    <w:rsid w:val="00DC12E1"/>
    <w:rsid w:val="00DC15CF"/>
    <w:rsid w:val="00DC15ED"/>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9AA"/>
    <w:rsid w:val="00DD5C2C"/>
    <w:rsid w:val="00DD62D9"/>
    <w:rsid w:val="00DD6C04"/>
    <w:rsid w:val="00DD6DE7"/>
    <w:rsid w:val="00DD6E0E"/>
    <w:rsid w:val="00DD73D5"/>
    <w:rsid w:val="00DD78C8"/>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AE7"/>
    <w:rsid w:val="00DF6FFD"/>
    <w:rsid w:val="00DF7F37"/>
    <w:rsid w:val="00E00F2C"/>
    <w:rsid w:val="00E02403"/>
    <w:rsid w:val="00E027E8"/>
    <w:rsid w:val="00E03BC7"/>
    <w:rsid w:val="00E04F3B"/>
    <w:rsid w:val="00E05220"/>
    <w:rsid w:val="00E0525E"/>
    <w:rsid w:val="00E05B8E"/>
    <w:rsid w:val="00E05E3E"/>
    <w:rsid w:val="00E05F83"/>
    <w:rsid w:val="00E060C7"/>
    <w:rsid w:val="00E06511"/>
    <w:rsid w:val="00E06871"/>
    <w:rsid w:val="00E06B09"/>
    <w:rsid w:val="00E07201"/>
    <w:rsid w:val="00E075CE"/>
    <w:rsid w:val="00E0776D"/>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8E8"/>
    <w:rsid w:val="00E17C28"/>
    <w:rsid w:val="00E20002"/>
    <w:rsid w:val="00E2010C"/>
    <w:rsid w:val="00E2042C"/>
    <w:rsid w:val="00E2044B"/>
    <w:rsid w:val="00E20806"/>
    <w:rsid w:val="00E2195C"/>
    <w:rsid w:val="00E21BD0"/>
    <w:rsid w:val="00E21E4A"/>
    <w:rsid w:val="00E2256F"/>
    <w:rsid w:val="00E22C11"/>
    <w:rsid w:val="00E23CF9"/>
    <w:rsid w:val="00E23DC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D2E"/>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5DCE"/>
    <w:rsid w:val="00E46480"/>
    <w:rsid w:val="00E466E5"/>
    <w:rsid w:val="00E467E8"/>
    <w:rsid w:val="00E47A88"/>
    <w:rsid w:val="00E47D74"/>
    <w:rsid w:val="00E50207"/>
    <w:rsid w:val="00E5035B"/>
    <w:rsid w:val="00E50967"/>
    <w:rsid w:val="00E50DB3"/>
    <w:rsid w:val="00E51794"/>
    <w:rsid w:val="00E52C1A"/>
    <w:rsid w:val="00E538CF"/>
    <w:rsid w:val="00E53C87"/>
    <w:rsid w:val="00E53DB8"/>
    <w:rsid w:val="00E54306"/>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8D5"/>
    <w:rsid w:val="00E61A10"/>
    <w:rsid w:val="00E62318"/>
    <w:rsid w:val="00E6298B"/>
    <w:rsid w:val="00E62D7E"/>
    <w:rsid w:val="00E630AC"/>
    <w:rsid w:val="00E6329F"/>
    <w:rsid w:val="00E635AF"/>
    <w:rsid w:val="00E64086"/>
    <w:rsid w:val="00E640D2"/>
    <w:rsid w:val="00E6449F"/>
    <w:rsid w:val="00E64C44"/>
    <w:rsid w:val="00E64D25"/>
    <w:rsid w:val="00E667AD"/>
    <w:rsid w:val="00E66A25"/>
    <w:rsid w:val="00E66BE3"/>
    <w:rsid w:val="00E6700B"/>
    <w:rsid w:val="00E679F1"/>
    <w:rsid w:val="00E67F80"/>
    <w:rsid w:val="00E70AB7"/>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E"/>
    <w:rsid w:val="00E7681F"/>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EE9"/>
    <w:rsid w:val="00EB3216"/>
    <w:rsid w:val="00EB3A2B"/>
    <w:rsid w:val="00EB493D"/>
    <w:rsid w:val="00EB4A40"/>
    <w:rsid w:val="00EB5BE2"/>
    <w:rsid w:val="00EB63CA"/>
    <w:rsid w:val="00EB6539"/>
    <w:rsid w:val="00EB6697"/>
    <w:rsid w:val="00EB7E3F"/>
    <w:rsid w:val="00EB7E66"/>
    <w:rsid w:val="00EC02BE"/>
    <w:rsid w:val="00EC0339"/>
    <w:rsid w:val="00EC03A5"/>
    <w:rsid w:val="00EC05B7"/>
    <w:rsid w:val="00EC06E2"/>
    <w:rsid w:val="00EC070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606"/>
    <w:rsid w:val="00ED47EC"/>
    <w:rsid w:val="00ED48D3"/>
    <w:rsid w:val="00ED52C8"/>
    <w:rsid w:val="00ED6992"/>
    <w:rsid w:val="00ED69DE"/>
    <w:rsid w:val="00ED6B96"/>
    <w:rsid w:val="00ED709C"/>
    <w:rsid w:val="00ED7456"/>
    <w:rsid w:val="00ED74BA"/>
    <w:rsid w:val="00ED786F"/>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A73"/>
    <w:rsid w:val="00EF0C71"/>
    <w:rsid w:val="00EF109A"/>
    <w:rsid w:val="00EF166A"/>
    <w:rsid w:val="00EF2175"/>
    <w:rsid w:val="00EF28EE"/>
    <w:rsid w:val="00EF2F72"/>
    <w:rsid w:val="00EF2FDC"/>
    <w:rsid w:val="00EF4A8B"/>
    <w:rsid w:val="00EF64BE"/>
    <w:rsid w:val="00EF6C6E"/>
    <w:rsid w:val="00EF6CF6"/>
    <w:rsid w:val="00EF6DC3"/>
    <w:rsid w:val="00F00978"/>
    <w:rsid w:val="00F01E45"/>
    <w:rsid w:val="00F02206"/>
    <w:rsid w:val="00F02A69"/>
    <w:rsid w:val="00F02B02"/>
    <w:rsid w:val="00F03DC7"/>
    <w:rsid w:val="00F04192"/>
    <w:rsid w:val="00F04383"/>
    <w:rsid w:val="00F047AA"/>
    <w:rsid w:val="00F0509D"/>
    <w:rsid w:val="00F0538C"/>
    <w:rsid w:val="00F05E94"/>
    <w:rsid w:val="00F065A4"/>
    <w:rsid w:val="00F072BC"/>
    <w:rsid w:val="00F07317"/>
    <w:rsid w:val="00F07D28"/>
    <w:rsid w:val="00F101DD"/>
    <w:rsid w:val="00F106B7"/>
    <w:rsid w:val="00F10F26"/>
    <w:rsid w:val="00F112A8"/>
    <w:rsid w:val="00F117F4"/>
    <w:rsid w:val="00F119C3"/>
    <w:rsid w:val="00F11D93"/>
    <w:rsid w:val="00F12077"/>
    <w:rsid w:val="00F122C0"/>
    <w:rsid w:val="00F123D5"/>
    <w:rsid w:val="00F1254B"/>
    <w:rsid w:val="00F12951"/>
    <w:rsid w:val="00F134C8"/>
    <w:rsid w:val="00F134D7"/>
    <w:rsid w:val="00F13603"/>
    <w:rsid w:val="00F13AD1"/>
    <w:rsid w:val="00F13BC9"/>
    <w:rsid w:val="00F14A72"/>
    <w:rsid w:val="00F15458"/>
    <w:rsid w:val="00F1592D"/>
    <w:rsid w:val="00F15C76"/>
    <w:rsid w:val="00F15D70"/>
    <w:rsid w:val="00F16A4B"/>
    <w:rsid w:val="00F16AC3"/>
    <w:rsid w:val="00F17918"/>
    <w:rsid w:val="00F17D4C"/>
    <w:rsid w:val="00F20059"/>
    <w:rsid w:val="00F2069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03"/>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A03"/>
    <w:rsid w:val="00F463B8"/>
    <w:rsid w:val="00F46D77"/>
    <w:rsid w:val="00F470D4"/>
    <w:rsid w:val="00F47218"/>
    <w:rsid w:val="00F4754E"/>
    <w:rsid w:val="00F510E2"/>
    <w:rsid w:val="00F51467"/>
    <w:rsid w:val="00F519BE"/>
    <w:rsid w:val="00F51F39"/>
    <w:rsid w:val="00F52330"/>
    <w:rsid w:val="00F529F2"/>
    <w:rsid w:val="00F52DDA"/>
    <w:rsid w:val="00F53962"/>
    <w:rsid w:val="00F54086"/>
    <w:rsid w:val="00F54427"/>
    <w:rsid w:val="00F54572"/>
    <w:rsid w:val="00F546D2"/>
    <w:rsid w:val="00F54E5C"/>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49F"/>
    <w:rsid w:val="00F76A6A"/>
    <w:rsid w:val="00F7703E"/>
    <w:rsid w:val="00F772F5"/>
    <w:rsid w:val="00F77D1F"/>
    <w:rsid w:val="00F77DC0"/>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470A"/>
    <w:rsid w:val="00F94CF7"/>
    <w:rsid w:val="00F9519D"/>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A79F8"/>
    <w:rsid w:val="00FB08AE"/>
    <w:rsid w:val="00FB0E8B"/>
    <w:rsid w:val="00FB15D0"/>
    <w:rsid w:val="00FB22A4"/>
    <w:rsid w:val="00FB26BC"/>
    <w:rsid w:val="00FB396D"/>
    <w:rsid w:val="00FB3D6E"/>
    <w:rsid w:val="00FB3FE9"/>
    <w:rsid w:val="00FB4235"/>
    <w:rsid w:val="00FB4258"/>
    <w:rsid w:val="00FB4A67"/>
    <w:rsid w:val="00FB518D"/>
    <w:rsid w:val="00FB53E2"/>
    <w:rsid w:val="00FB5602"/>
    <w:rsid w:val="00FB5D63"/>
    <w:rsid w:val="00FB606D"/>
    <w:rsid w:val="00FB6128"/>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FD9"/>
    <w:rsid w:val="00FD03FA"/>
    <w:rsid w:val="00FD0462"/>
    <w:rsid w:val="00FD07CB"/>
    <w:rsid w:val="00FD0889"/>
    <w:rsid w:val="00FD0B13"/>
    <w:rsid w:val="00FD0D93"/>
    <w:rsid w:val="00FD1441"/>
    <w:rsid w:val="00FD15C5"/>
    <w:rsid w:val="00FD1924"/>
    <w:rsid w:val="00FD2D0B"/>
    <w:rsid w:val="00FD3A41"/>
    <w:rsid w:val="00FD4012"/>
    <w:rsid w:val="00FD4218"/>
    <w:rsid w:val="00FD42BE"/>
    <w:rsid w:val="00FD53C6"/>
    <w:rsid w:val="00FD5775"/>
    <w:rsid w:val="00FD5BEE"/>
    <w:rsid w:val="00FD6AEE"/>
    <w:rsid w:val="00FD6C11"/>
    <w:rsid w:val="00FD6E2A"/>
    <w:rsid w:val="00FD7913"/>
    <w:rsid w:val="00FE099F"/>
    <w:rsid w:val="00FE1310"/>
    <w:rsid w:val="00FE1A1D"/>
    <w:rsid w:val="00FE1CCB"/>
    <w:rsid w:val="00FE2956"/>
    <w:rsid w:val="00FE2CC8"/>
    <w:rsid w:val="00FE2F96"/>
    <w:rsid w:val="00FE452F"/>
    <w:rsid w:val="00FE45DD"/>
    <w:rsid w:val="00FE462E"/>
    <w:rsid w:val="00FE4714"/>
    <w:rsid w:val="00FE50E9"/>
    <w:rsid w:val="00FE60CA"/>
    <w:rsid w:val="00FE61B8"/>
    <w:rsid w:val="00FE6358"/>
    <w:rsid w:val="00FE6A95"/>
    <w:rsid w:val="00FE71F0"/>
    <w:rsid w:val="00FE751E"/>
    <w:rsid w:val="00FE754C"/>
    <w:rsid w:val="00FE7E64"/>
    <w:rsid w:val="00FF0A58"/>
    <w:rsid w:val="00FF0B12"/>
    <w:rsid w:val="00FF0F83"/>
    <w:rsid w:val="00FF138C"/>
    <w:rsid w:val="00FF1F55"/>
    <w:rsid w:val="00FF200B"/>
    <w:rsid w:val="00FF2418"/>
    <w:rsid w:val="00FF2742"/>
    <w:rsid w:val="00FF2D69"/>
    <w:rsid w:val="00FF32D9"/>
    <w:rsid w:val="00FF4047"/>
    <w:rsid w:val="00FF42E8"/>
    <w:rsid w:val="00FF44EA"/>
    <w:rsid w:val="00FF4B84"/>
    <w:rsid w:val="00FF504D"/>
    <w:rsid w:val="00FF5664"/>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F5C792-2677-40F3-9BFB-D61F66E4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6013F1"/>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italia/covid19-opendata-vaccini/blob/master/dati/platea-dose-addizionale-booster.csv" TargetMode="External"/><Relationship Id="rId18" Type="http://schemas.openxmlformats.org/officeDocument/2006/relationships/hyperlink" Target="mailto:ufficio.stampa@gimbe.org"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www.epicentro.iss.it/coronavirus/bollettino/Bollettino-sorveglianza-integrata-COVID-19_4-maggio-2022.pdf" TargetMode="External"/><Relationship Id="rId17" Type="http://schemas.openxmlformats.org/officeDocument/2006/relationships/hyperlink" Target="https://coronavirus.gimbe.or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picentro.iss.it/coronavirus/bollettino/Bollettino-sorveglianza-integrata-COVID-19_4-maggio-2022.pdf"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github.com/italia/covid19-opendata-vaccini/blob/master/dati/platea-second-booster.csv"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twitter.com/EricTopol/status/1521857775407489024"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hhs.gov/ash/about-ash/regional-offices/region-2/index.html" TargetMode="External"/><Relationship Id="rId14" Type="http://schemas.openxmlformats.org/officeDocument/2006/relationships/hyperlink" Target="https://github.com/italia/covid19-opendata-vaccini/blob/master/dati/platea-booster-immunocompromessi.csv"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s://www.trovanorme.salute.gov.it/norme/renderNormsanPdf?anno=2022&amp;codLeg=86922&amp;parte=1%20&amp;serie=null"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4E04-AAD6-4EF5-A3C5-8F0D6F48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3057</Words>
  <Characters>17431</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Roberto Luceri</cp:lastModifiedBy>
  <cp:revision>8</cp:revision>
  <cp:lastPrinted>2022-05-04T09:11:00Z</cp:lastPrinted>
  <dcterms:created xsi:type="dcterms:W3CDTF">2022-05-11T13:08:00Z</dcterms:created>
  <dcterms:modified xsi:type="dcterms:W3CDTF">2022-05-11T14:05:00Z</dcterms:modified>
</cp:coreProperties>
</file>