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A89" w:rsidRDefault="000C7A89" w:rsidP="00C27E98">
      <w:pPr>
        <w:shd w:val="clear" w:color="auto" w:fill="FFFFFF"/>
        <w:spacing w:after="0" w:line="276" w:lineRule="auto"/>
        <w:jc w:val="center"/>
        <w:rPr>
          <w:b/>
          <w:bCs/>
          <w:sz w:val="31"/>
          <w:szCs w:val="31"/>
        </w:rPr>
      </w:pPr>
      <w:r>
        <w:rPr>
          <w:b/>
          <w:bCs/>
          <w:sz w:val="31"/>
          <w:szCs w:val="31"/>
        </w:rPr>
        <w:t>COMUNICATO STAMPA</w:t>
      </w:r>
    </w:p>
    <w:p w:rsidR="00CE4B95" w:rsidRDefault="00CE4B95" w:rsidP="00CE4B95">
      <w:pPr>
        <w:spacing w:after="200" w:line="276" w:lineRule="auto"/>
        <w:jc w:val="center"/>
        <w:rPr>
          <w:b/>
          <w:bCs/>
          <w:color w:val="auto"/>
          <w:sz w:val="32"/>
          <w:szCs w:val="31"/>
        </w:rPr>
      </w:pPr>
      <w:r w:rsidRPr="00CE4B95">
        <w:rPr>
          <w:b/>
          <w:bCs/>
          <w:color w:val="auto"/>
          <w:sz w:val="32"/>
          <w:szCs w:val="31"/>
        </w:rPr>
        <w:t xml:space="preserve">CORONAVIRUS: NELL’ULTIMA SETTIMANA CONTINUANO A SCENDERE NUOVI CASI (-21,1%), RICOVERI IN AREA MEDICA (-20%) </w:t>
      </w:r>
      <w:r>
        <w:rPr>
          <w:b/>
          <w:bCs/>
          <w:color w:val="auto"/>
          <w:sz w:val="32"/>
          <w:szCs w:val="31"/>
        </w:rPr>
        <w:br/>
      </w:r>
      <w:r w:rsidRPr="00CE4B95">
        <w:rPr>
          <w:b/>
          <w:bCs/>
          <w:color w:val="auto"/>
          <w:sz w:val="32"/>
          <w:szCs w:val="31"/>
        </w:rPr>
        <w:t>E IN TERAPIA INT</w:t>
      </w:r>
      <w:bookmarkStart w:id="0" w:name="_GoBack"/>
      <w:bookmarkEnd w:id="0"/>
      <w:r w:rsidRPr="00CE4B95">
        <w:rPr>
          <w:b/>
          <w:bCs/>
          <w:color w:val="auto"/>
          <w:sz w:val="32"/>
          <w:szCs w:val="31"/>
        </w:rPr>
        <w:t>EN</w:t>
      </w:r>
      <w:r>
        <w:rPr>
          <w:b/>
          <w:bCs/>
          <w:color w:val="auto"/>
          <w:sz w:val="32"/>
          <w:szCs w:val="31"/>
        </w:rPr>
        <w:t>SIVA (-21%) E DECESSI (-18,6%).</w:t>
      </w:r>
      <w:r>
        <w:rPr>
          <w:b/>
          <w:bCs/>
          <w:color w:val="auto"/>
          <w:sz w:val="32"/>
          <w:szCs w:val="31"/>
        </w:rPr>
        <w:br/>
      </w:r>
      <w:r w:rsidRPr="00CE4B95">
        <w:rPr>
          <w:b/>
          <w:bCs/>
          <w:color w:val="auto"/>
          <w:sz w:val="32"/>
          <w:szCs w:val="31"/>
        </w:rPr>
        <w:t>IN 7 GIORNI ULTERIORE CROLLO DEI NUO</w:t>
      </w:r>
      <w:r>
        <w:rPr>
          <w:b/>
          <w:bCs/>
          <w:color w:val="auto"/>
          <w:sz w:val="32"/>
          <w:szCs w:val="31"/>
        </w:rPr>
        <w:t xml:space="preserve">VI VACCINATI (-34,4%). </w:t>
      </w:r>
      <w:r>
        <w:rPr>
          <w:b/>
          <w:bCs/>
          <w:color w:val="auto"/>
          <w:sz w:val="32"/>
          <w:szCs w:val="31"/>
        </w:rPr>
        <w:br/>
      </w:r>
      <w:r w:rsidRPr="00CE4B95">
        <w:rPr>
          <w:b/>
          <w:bCs/>
          <w:color w:val="auto"/>
          <w:sz w:val="32"/>
          <w:szCs w:val="31"/>
        </w:rPr>
        <w:t>UCRAINA, 63,8% DI NON VACCINATI: IL GOVERNO SI PREPARI A PROTEGGERE PROFUGHI ANZIANI E FRAGILI.</w:t>
      </w:r>
    </w:p>
    <w:p w:rsidR="0082558A" w:rsidRPr="00CE4B95" w:rsidRDefault="00B06841" w:rsidP="00CE4B95">
      <w:pPr>
        <w:spacing w:after="200" w:line="276" w:lineRule="auto"/>
        <w:jc w:val="both"/>
        <w:rPr>
          <w:b/>
          <w:bCs/>
          <w:color w:val="auto"/>
          <w:sz w:val="32"/>
          <w:szCs w:val="31"/>
        </w:rPr>
      </w:pPr>
      <w:r w:rsidRPr="00B06841">
        <w:rPr>
          <w:b/>
          <w:bCs/>
          <w:color w:val="auto"/>
          <w:sz w:val="24"/>
          <w:szCs w:val="24"/>
        </w:rPr>
        <w:t>IL MONITORAGGIO DELLA FONDAZIONE GIMBE RILEVA, NELLA SETTIMANA 23 FEBBRAIO-1 MARZO, UNA RIDUZIONE DEI NUOVI CASI (-73.746). INCIDENZA SUPERIORE A 500 CASI PER 100.000 ABITANTI IN 42 PROVINCE. SCENDONO I RICOVERI IN TERAPIA INTENSIVA (-188), IN AREA MEDICA (-2.620) E I DECESSI</w:t>
      </w:r>
      <w:r w:rsidR="001B3D34">
        <w:rPr>
          <w:b/>
          <w:bCs/>
          <w:color w:val="auto"/>
          <w:sz w:val="24"/>
          <w:szCs w:val="24"/>
        </w:rPr>
        <w:t xml:space="preserve"> (-18,6%)</w:t>
      </w:r>
      <w:r w:rsidRPr="00B06841">
        <w:rPr>
          <w:b/>
          <w:bCs/>
          <w:color w:val="auto"/>
          <w:sz w:val="24"/>
          <w:szCs w:val="24"/>
        </w:rPr>
        <w:t xml:space="preserve">. L’85,5% DELLA POPOLAZIONE HA RICEVUTO ALMENO UNA DOSE DI VACCINO E L’83,4% HA COMPLETATO IL CICLO VACCINALE. 4,8 MILIONI </w:t>
      </w:r>
      <w:r w:rsidR="000D1503">
        <w:rPr>
          <w:b/>
          <w:bCs/>
          <w:color w:val="auto"/>
          <w:sz w:val="24"/>
          <w:szCs w:val="24"/>
        </w:rPr>
        <w:t>DI</w:t>
      </w:r>
      <w:r w:rsidR="000D1503" w:rsidRPr="00B06841">
        <w:rPr>
          <w:b/>
          <w:bCs/>
          <w:color w:val="auto"/>
          <w:sz w:val="24"/>
          <w:szCs w:val="24"/>
        </w:rPr>
        <w:t xml:space="preserve"> </w:t>
      </w:r>
      <w:r w:rsidRPr="00B06841">
        <w:rPr>
          <w:b/>
          <w:bCs/>
          <w:color w:val="auto"/>
          <w:sz w:val="24"/>
          <w:szCs w:val="24"/>
        </w:rPr>
        <w:t xml:space="preserve">PERSONE SENZA NEMMENO UNA DOSE VACCINABILI SUBITO E 2,27 MILIONI DI GUARITI PROTETTI SOLO TEMPORANEAMENTE. TASSO DI COPERTURA TERZE DOSI ALL’83,9% CON NETTE DIFFERENZE REGIONALI. </w:t>
      </w:r>
      <w:r w:rsidR="00985F02">
        <w:rPr>
          <w:b/>
          <w:bCs/>
          <w:color w:val="auto"/>
          <w:sz w:val="24"/>
          <w:szCs w:val="24"/>
        </w:rPr>
        <w:t>AL VIA LA SOMMINISTRAZIONE DELLE</w:t>
      </w:r>
      <w:r w:rsidRPr="00B06841">
        <w:rPr>
          <w:b/>
          <w:bCs/>
          <w:color w:val="auto"/>
          <w:sz w:val="24"/>
          <w:szCs w:val="24"/>
        </w:rPr>
        <w:t xml:space="preserve"> QUARTE DOSI </w:t>
      </w:r>
      <w:r w:rsidR="00985F02">
        <w:rPr>
          <w:b/>
          <w:bCs/>
          <w:color w:val="auto"/>
          <w:sz w:val="24"/>
          <w:szCs w:val="24"/>
        </w:rPr>
        <w:t>NELLE PERSONE IMMUNOCOMPROMESSE</w:t>
      </w:r>
      <w:r w:rsidRPr="00B06841">
        <w:rPr>
          <w:b/>
          <w:bCs/>
          <w:color w:val="auto"/>
          <w:sz w:val="24"/>
          <w:szCs w:val="24"/>
        </w:rPr>
        <w:t xml:space="preserve">. </w:t>
      </w:r>
      <w:r w:rsidRPr="00B544B1">
        <w:rPr>
          <w:b/>
          <w:bCs/>
          <w:color w:val="auto"/>
          <w:sz w:val="24"/>
          <w:szCs w:val="24"/>
        </w:rPr>
        <w:t>GUERRA IN UCRAINA</w:t>
      </w:r>
      <w:r w:rsidR="004E0DD7">
        <w:rPr>
          <w:b/>
          <w:bCs/>
          <w:color w:val="auto"/>
          <w:sz w:val="24"/>
          <w:szCs w:val="24"/>
        </w:rPr>
        <w:t>,</w:t>
      </w:r>
      <w:r w:rsidR="00594FA3">
        <w:rPr>
          <w:b/>
          <w:bCs/>
          <w:color w:val="auto"/>
          <w:sz w:val="24"/>
          <w:szCs w:val="24"/>
        </w:rPr>
        <w:t xml:space="preserve"> MIGLIAIA DI PROFUGHI IN ARRIVO</w:t>
      </w:r>
      <w:r w:rsidR="004E0DD7">
        <w:rPr>
          <w:b/>
          <w:bCs/>
          <w:color w:val="auto"/>
          <w:sz w:val="24"/>
          <w:szCs w:val="24"/>
        </w:rPr>
        <w:t xml:space="preserve">: </w:t>
      </w:r>
      <w:r w:rsidRPr="00B544B1">
        <w:rPr>
          <w:b/>
          <w:bCs/>
          <w:color w:val="auto"/>
          <w:sz w:val="24"/>
          <w:szCs w:val="24"/>
        </w:rPr>
        <w:t>I</w:t>
      </w:r>
      <w:r w:rsidR="00B26784">
        <w:rPr>
          <w:b/>
          <w:bCs/>
          <w:color w:val="auto"/>
          <w:sz w:val="24"/>
          <w:szCs w:val="24"/>
        </w:rPr>
        <w:t>NCLUDERE NEI</w:t>
      </w:r>
      <w:r w:rsidRPr="00B544B1">
        <w:rPr>
          <w:b/>
          <w:bCs/>
          <w:color w:val="auto"/>
          <w:sz w:val="24"/>
          <w:szCs w:val="24"/>
        </w:rPr>
        <w:t xml:space="preserve"> PIANI DI ACCOGLIENZA LA VACCINAZIONE DI ANZIANI E FRAGILI.</w:t>
      </w:r>
    </w:p>
    <w:p w:rsidR="006C1992" w:rsidRPr="003719ED" w:rsidRDefault="007631BC" w:rsidP="00C27E98">
      <w:pPr>
        <w:spacing w:after="200" w:line="276" w:lineRule="auto"/>
        <w:jc w:val="center"/>
        <w:rPr>
          <w:b/>
          <w:bCs/>
          <w:color w:val="auto"/>
          <w:spacing w:val="-2"/>
          <w:sz w:val="32"/>
          <w:szCs w:val="32"/>
        </w:rPr>
      </w:pPr>
      <w:r>
        <w:rPr>
          <w:rFonts w:cs="Calibri"/>
          <w:b/>
          <w:bCs/>
          <w:color w:val="auto"/>
        </w:rPr>
        <w:t>3 marzo</w:t>
      </w:r>
      <w:r w:rsidR="00D3059A" w:rsidRPr="003719ED">
        <w:rPr>
          <w:rFonts w:cs="Calibri"/>
          <w:b/>
          <w:bCs/>
          <w:color w:val="auto"/>
        </w:rPr>
        <w:t xml:space="preserve"> </w:t>
      </w:r>
      <w:r w:rsidR="007D79B3" w:rsidRPr="003719ED">
        <w:rPr>
          <w:rFonts w:cs="Calibri"/>
          <w:b/>
          <w:bCs/>
          <w:color w:val="auto"/>
        </w:rPr>
        <w:t>2022</w:t>
      </w:r>
      <w:r w:rsidR="00B514EF" w:rsidRPr="003719ED">
        <w:rPr>
          <w:rFonts w:cs="Calibri"/>
          <w:b/>
          <w:bCs/>
          <w:color w:val="auto"/>
        </w:rPr>
        <w:t xml:space="preserve"> - Fondazione GIMBE, Bologna</w:t>
      </w:r>
    </w:p>
    <w:p w:rsidR="0093429F" w:rsidRPr="0093429F" w:rsidRDefault="0093429F" w:rsidP="00061647">
      <w:pPr>
        <w:spacing w:line="276" w:lineRule="auto"/>
        <w:jc w:val="both"/>
        <w:rPr>
          <w:color w:val="auto"/>
        </w:rPr>
      </w:pPr>
      <w:r w:rsidRPr="0093429F">
        <w:rPr>
          <w:color w:val="auto"/>
        </w:rPr>
        <w:t>Il monitoraggio indipendente della Fondazione GIMBE rileva nella settimana 23 febbraio-1 marzo 2022, rispetto alla precedente, una diminuzione di nuovi casi (275.376 vs 349.122) (</w:t>
      </w:r>
      <w:r w:rsidRPr="0093429F">
        <w:rPr>
          <w:color w:val="auto"/>
          <w:highlight w:val="yellow"/>
        </w:rPr>
        <w:t>figura 1</w:t>
      </w:r>
      <w:r w:rsidRPr="0093429F">
        <w:rPr>
          <w:color w:val="auto"/>
        </w:rPr>
        <w:t>) e decessi (1.488 vs 1.828) (</w:t>
      </w:r>
      <w:r w:rsidRPr="0093429F">
        <w:rPr>
          <w:color w:val="auto"/>
          <w:highlight w:val="yellow"/>
        </w:rPr>
        <w:t>figura 2</w:t>
      </w:r>
      <w:r w:rsidRPr="0093429F">
        <w:rPr>
          <w:color w:val="auto"/>
        </w:rPr>
        <w:t>). In calo anche i casi attualmente positivi (1.073.230 vs 1.291.793), le persone in isolamento domiciliare (1.062.066 vs 1.277.821), i ricoveri con sintomi (10.456 vs 13.076) e le terapie intensive (708 vs 896) (</w:t>
      </w:r>
      <w:r w:rsidRPr="0093429F">
        <w:rPr>
          <w:color w:val="auto"/>
          <w:highlight w:val="yellow"/>
        </w:rPr>
        <w:t>figura 3</w:t>
      </w:r>
      <w:r w:rsidRPr="0093429F">
        <w:rPr>
          <w:color w:val="auto"/>
        </w:rPr>
        <w:t>). In dettaglio, rispetto alla settimana precedente, si registrano le seguenti variazioni:</w:t>
      </w:r>
    </w:p>
    <w:p w:rsidR="0093429F" w:rsidRPr="0093429F" w:rsidRDefault="0093429F" w:rsidP="0093429F">
      <w:pPr>
        <w:pStyle w:val="Paragrafoelenco"/>
        <w:numPr>
          <w:ilvl w:val="0"/>
          <w:numId w:val="39"/>
        </w:numPr>
        <w:spacing w:after="0" w:line="276" w:lineRule="auto"/>
        <w:ind w:left="357" w:hanging="357"/>
        <w:jc w:val="both"/>
        <w:rPr>
          <w:color w:val="auto"/>
        </w:rPr>
      </w:pPr>
      <w:r w:rsidRPr="0093429F">
        <w:rPr>
          <w:color w:val="auto"/>
        </w:rPr>
        <w:t>Decessi: 1.488 (-18,6%), di cui 122 riferiti a periodi precedenti</w:t>
      </w:r>
    </w:p>
    <w:p w:rsidR="0093429F" w:rsidRPr="0093429F" w:rsidRDefault="0093429F" w:rsidP="0093429F">
      <w:pPr>
        <w:pStyle w:val="Paragrafoelenco"/>
        <w:numPr>
          <w:ilvl w:val="0"/>
          <w:numId w:val="39"/>
        </w:numPr>
        <w:spacing w:after="0" w:line="276" w:lineRule="auto"/>
        <w:ind w:left="357" w:hanging="357"/>
        <w:jc w:val="both"/>
        <w:rPr>
          <w:color w:val="auto"/>
        </w:rPr>
      </w:pPr>
      <w:r>
        <w:rPr>
          <w:color w:val="auto"/>
        </w:rPr>
        <w:t>Terapia intensiva: -188 (-21</w:t>
      </w:r>
      <w:r w:rsidRPr="0093429F">
        <w:rPr>
          <w:color w:val="auto"/>
        </w:rPr>
        <w:t>%)</w:t>
      </w:r>
    </w:p>
    <w:p w:rsidR="0093429F" w:rsidRPr="0093429F" w:rsidRDefault="0093429F" w:rsidP="0093429F">
      <w:pPr>
        <w:pStyle w:val="Paragrafoelenco"/>
        <w:numPr>
          <w:ilvl w:val="0"/>
          <w:numId w:val="39"/>
        </w:numPr>
        <w:spacing w:after="0" w:line="276" w:lineRule="auto"/>
        <w:ind w:left="357" w:hanging="357"/>
        <w:jc w:val="both"/>
        <w:rPr>
          <w:color w:val="auto"/>
        </w:rPr>
      </w:pPr>
      <w:r w:rsidRPr="0093429F">
        <w:rPr>
          <w:color w:val="auto"/>
        </w:rPr>
        <w:t>Ricoverati con sintomi: -2.620 (-20%)</w:t>
      </w:r>
    </w:p>
    <w:p w:rsidR="0093429F" w:rsidRPr="0093429F" w:rsidRDefault="0093429F" w:rsidP="0093429F">
      <w:pPr>
        <w:pStyle w:val="Paragrafoelenco"/>
        <w:numPr>
          <w:ilvl w:val="0"/>
          <w:numId w:val="39"/>
        </w:numPr>
        <w:spacing w:after="0" w:line="276" w:lineRule="auto"/>
        <w:ind w:left="357" w:hanging="357"/>
        <w:jc w:val="both"/>
        <w:rPr>
          <w:color w:val="auto"/>
        </w:rPr>
      </w:pPr>
      <w:r w:rsidRPr="0093429F">
        <w:rPr>
          <w:color w:val="auto"/>
        </w:rPr>
        <w:t>Isolamento domiciliare: -215.755 (-16,9%)</w:t>
      </w:r>
    </w:p>
    <w:p w:rsidR="0093429F" w:rsidRPr="0093429F" w:rsidRDefault="0093429F" w:rsidP="0093429F">
      <w:pPr>
        <w:pStyle w:val="Paragrafoelenco"/>
        <w:numPr>
          <w:ilvl w:val="0"/>
          <w:numId w:val="39"/>
        </w:numPr>
        <w:spacing w:after="0" w:line="276" w:lineRule="auto"/>
        <w:ind w:left="357" w:hanging="357"/>
        <w:jc w:val="both"/>
        <w:rPr>
          <w:color w:val="auto"/>
        </w:rPr>
      </w:pPr>
      <w:r w:rsidRPr="0093429F">
        <w:rPr>
          <w:color w:val="auto"/>
        </w:rPr>
        <w:t>Nuovi casi: 275.376 (-21,1%)</w:t>
      </w:r>
    </w:p>
    <w:p w:rsidR="0093429F" w:rsidRPr="0093429F" w:rsidRDefault="0093429F" w:rsidP="0093429F">
      <w:pPr>
        <w:pStyle w:val="Paragrafoelenco"/>
        <w:numPr>
          <w:ilvl w:val="0"/>
          <w:numId w:val="39"/>
        </w:numPr>
        <w:spacing w:line="276" w:lineRule="auto"/>
        <w:jc w:val="both"/>
        <w:rPr>
          <w:color w:val="auto"/>
        </w:rPr>
      </w:pPr>
      <w:r w:rsidRPr="0093429F">
        <w:rPr>
          <w:color w:val="auto"/>
        </w:rPr>
        <w:t>Casi attualmente positivi: -218.563 (-16,9%)</w:t>
      </w:r>
    </w:p>
    <w:p w:rsidR="002879EE" w:rsidRPr="0093429F" w:rsidRDefault="008568BE" w:rsidP="00F41F65">
      <w:pPr>
        <w:spacing w:line="276" w:lineRule="auto"/>
        <w:jc w:val="both"/>
        <w:rPr>
          <w:color w:val="auto"/>
        </w:rPr>
      </w:pPr>
      <w:r w:rsidRPr="0093429F">
        <w:rPr>
          <w:b/>
          <w:color w:val="auto"/>
        </w:rPr>
        <w:t xml:space="preserve">Nuovi casi. </w:t>
      </w:r>
      <w:r w:rsidR="00797AB7" w:rsidRPr="0093429F">
        <w:rPr>
          <w:color w:val="auto"/>
        </w:rPr>
        <w:t>«</w:t>
      </w:r>
      <w:r w:rsidR="00962F4F">
        <w:rPr>
          <w:color w:val="auto"/>
        </w:rPr>
        <w:t xml:space="preserve">I </w:t>
      </w:r>
      <w:r w:rsidR="00962F4F" w:rsidRPr="0093429F">
        <w:rPr>
          <w:color w:val="auto"/>
        </w:rPr>
        <w:t>nuovi casi settimanali</w:t>
      </w:r>
      <w:r w:rsidR="00962F4F">
        <w:rPr>
          <w:color w:val="auto"/>
        </w:rPr>
        <w:t xml:space="preserve"> </w:t>
      </w:r>
      <w:r w:rsidR="0042340E" w:rsidRPr="0093429F">
        <w:rPr>
          <w:color w:val="auto"/>
        </w:rPr>
        <w:t>– dichiara Nino Cartabellotta, Presidente della Fondazione GIMBE –</w:t>
      </w:r>
      <w:r w:rsidR="00115C48" w:rsidRPr="0093429F">
        <w:rPr>
          <w:color w:val="auto"/>
        </w:rPr>
        <w:t>sono in calo</w:t>
      </w:r>
      <w:r w:rsidR="00962F4F">
        <w:rPr>
          <w:color w:val="auto"/>
        </w:rPr>
        <w:t xml:space="preserve"> d</w:t>
      </w:r>
      <w:r w:rsidR="00962F4F" w:rsidRPr="0093429F">
        <w:rPr>
          <w:color w:val="auto"/>
        </w:rPr>
        <w:t>a cinque settimane</w:t>
      </w:r>
      <w:r w:rsidR="00742773" w:rsidRPr="0093429F">
        <w:rPr>
          <w:color w:val="auto"/>
        </w:rPr>
        <w:t xml:space="preserve">: </w:t>
      </w:r>
      <w:r w:rsidR="003B0F67" w:rsidRPr="0093429F">
        <w:rPr>
          <w:color w:val="auto"/>
        </w:rPr>
        <w:t xml:space="preserve">rispetto alla settimana precedente </w:t>
      </w:r>
      <w:r w:rsidR="003B0F67">
        <w:rPr>
          <w:color w:val="auto"/>
        </w:rPr>
        <w:t xml:space="preserve">si attestano intorno a </w:t>
      </w:r>
      <w:r w:rsidR="0093429F" w:rsidRPr="0093429F">
        <w:rPr>
          <w:color w:val="auto"/>
        </w:rPr>
        <w:t>275</w:t>
      </w:r>
      <w:r w:rsidR="00D3512D" w:rsidRPr="0093429F">
        <w:rPr>
          <w:color w:val="auto"/>
        </w:rPr>
        <w:t xml:space="preserve"> mila</w:t>
      </w:r>
      <w:r w:rsidR="003B0F67">
        <w:rPr>
          <w:color w:val="auto"/>
        </w:rPr>
        <w:t>,</w:t>
      </w:r>
      <w:r w:rsidR="00D3512D" w:rsidRPr="0093429F">
        <w:rPr>
          <w:color w:val="auto"/>
        </w:rPr>
        <w:t xml:space="preserve"> </w:t>
      </w:r>
      <w:r w:rsidR="006A145D" w:rsidRPr="0093429F">
        <w:rPr>
          <w:color w:val="auto"/>
        </w:rPr>
        <w:t>con un</w:t>
      </w:r>
      <w:r w:rsidR="008C0406" w:rsidRPr="0093429F">
        <w:rPr>
          <w:color w:val="auto"/>
        </w:rPr>
        <w:t>a riduzione</w:t>
      </w:r>
      <w:r w:rsidR="006A145D" w:rsidRPr="0093429F">
        <w:rPr>
          <w:color w:val="auto"/>
        </w:rPr>
        <w:t xml:space="preserve"> </w:t>
      </w:r>
      <w:r w:rsidR="00036D6B" w:rsidRPr="0093429F">
        <w:rPr>
          <w:color w:val="auto"/>
        </w:rPr>
        <w:t xml:space="preserve">del </w:t>
      </w:r>
      <w:r w:rsidR="00F41F65" w:rsidRPr="0093429F">
        <w:rPr>
          <w:color w:val="auto"/>
        </w:rPr>
        <w:t>2</w:t>
      </w:r>
      <w:r w:rsidR="0093429F" w:rsidRPr="0093429F">
        <w:rPr>
          <w:color w:val="auto"/>
        </w:rPr>
        <w:t>1</w:t>
      </w:r>
      <w:r w:rsidR="00F41F65" w:rsidRPr="0093429F">
        <w:rPr>
          <w:color w:val="auto"/>
        </w:rPr>
        <w:t>,</w:t>
      </w:r>
      <w:r w:rsidR="0093429F" w:rsidRPr="0093429F">
        <w:rPr>
          <w:color w:val="auto"/>
        </w:rPr>
        <w:t>1</w:t>
      </w:r>
      <w:r w:rsidR="00AB2290" w:rsidRPr="0093429F">
        <w:rPr>
          <w:color w:val="auto"/>
        </w:rPr>
        <w:t xml:space="preserve">% e una media mobile a 7 giorni </w:t>
      </w:r>
      <w:r w:rsidR="00B87C59" w:rsidRPr="0093429F">
        <w:rPr>
          <w:color w:val="auto"/>
        </w:rPr>
        <w:t xml:space="preserve">che </w:t>
      </w:r>
      <w:r w:rsidR="00742773" w:rsidRPr="0093429F">
        <w:rPr>
          <w:color w:val="auto"/>
        </w:rPr>
        <w:t xml:space="preserve">scende </w:t>
      </w:r>
      <w:r w:rsidR="00AB2290" w:rsidRPr="0093429F">
        <w:rPr>
          <w:color w:val="auto"/>
        </w:rPr>
        <w:t xml:space="preserve">da </w:t>
      </w:r>
      <w:r w:rsidR="0093429F" w:rsidRPr="0093429F">
        <w:rPr>
          <w:color w:val="auto"/>
        </w:rPr>
        <w:t>49.875</w:t>
      </w:r>
      <w:r w:rsidR="00E82708" w:rsidRPr="0093429F">
        <w:rPr>
          <w:color w:val="auto"/>
        </w:rPr>
        <w:t xml:space="preserve"> </w:t>
      </w:r>
      <w:r w:rsidR="00DC34CB" w:rsidRPr="0093429F">
        <w:rPr>
          <w:color w:val="auto"/>
        </w:rPr>
        <w:t xml:space="preserve">casi </w:t>
      </w:r>
      <w:r w:rsidR="00AB2290" w:rsidRPr="0093429F">
        <w:rPr>
          <w:color w:val="auto"/>
        </w:rPr>
        <w:t xml:space="preserve">del </w:t>
      </w:r>
      <w:r w:rsidR="0093429F" w:rsidRPr="0093429F">
        <w:rPr>
          <w:color w:val="auto"/>
        </w:rPr>
        <w:t>22</w:t>
      </w:r>
      <w:r w:rsidR="00AB2290" w:rsidRPr="0093429F">
        <w:rPr>
          <w:color w:val="auto"/>
        </w:rPr>
        <w:t xml:space="preserve"> </w:t>
      </w:r>
      <w:r w:rsidR="00E82708" w:rsidRPr="0093429F">
        <w:rPr>
          <w:color w:val="auto"/>
        </w:rPr>
        <w:t xml:space="preserve">febbraio </w:t>
      </w:r>
      <w:r w:rsidR="00AB2290" w:rsidRPr="0093429F">
        <w:rPr>
          <w:color w:val="auto"/>
        </w:rPr>
        <w:t xml:space="preserve">a </w:t>
      </w:r>
      <w:r w:rsidR="0093429F" w:rsidRPr="0093429F">
        <w:rPr>
          <w:color w:val="auto"/>
        </w:rPr>
        <w:t xml:space="preserve">39.339 </w:t>
      </w:r>
      <w:r w:rsidR="00A150BB" w:rsidRPr="0093429F">
        <w:rPr>
          <w:color w:val="auto"/>
        </w:rPr>
        <w:t xml:space="preserve">il </w:t>
      </w:r>
      <w:r w:rsidR="0093429F" w:rsidRPr="0093429F">
        <w:rPr>
          <w:color w:val="auto"/>
        </w:rPr>
        <w:t xml:space="preserve">1° marzo </w:t>
      </w:r>
      <w:r w:rsidR="00AB2290" w:rsidRPr="0093429F">
        <w:rPr>
          <w:color w:val="auto"/>
        </w:rPr>
        <w:t>(</w:t>
      </w:r>
      <w:r w:rsidR="00C971AD" w:rsidRPr="0093429F">
        <w:rPr>
          <w:color w:val="auto"/>
        </w:rPr>
        <w:t>-</w:t>
      </w:r>
      <w:r w:rsidR="00F41F65" w:rsidRPr="0093429F">
        <w:rPr>
          <w:color w:val="auto"/>
        </w:rPr>
        <w:t>1</w:t>
      </w:r>
      <w:r w:rsidR="0093429F" w:rsidRPr="0093429F">
        <w:rPr>
          <w:color w:val="auto"/>
        </w:rPr>
        <w:t>8</w:t>
      </w:r>
      <w:r w:rsidR="000D7DCE" w:rsidRPr="0093429F">
        <w:rPr>
          <w:color w:val="auto"/>
        </w:rPr>
        <w:t>,</w:t>
      </w:r>
      <w:r w:rsidR="0093429F" w:rsidRPr="0093429F">
        <w:rPr>
          <w:color w:val="auto"/>
        </w:rPr>
        <w:t>6</w:t>
      </w:r>
      <w:r w:rsidR="000D7DCE" w:rsidRPr="0093429F">
        <w:rPr>
          <w:color w:val="auto"/>
        </w:rPr>
        <w:t>%</w:t>
      </w:r>
      <w:r w:rsidR="00AB2290" w:rsidRPr="0093429F">
        <w:rPr>
          <w:color w:val="auto"/>
        </w:rPr>
        <w:t>)</w:t>
      </w:r>
      <w:r w:rsidR="00B26784" w:rsidRPr="0093429F">
        <w:rPr>
          <w:color w:val="auto"/>
        </w:rPr>
        <w:t>»</w:t>
      </w:r>
      <w:r w:rsidR="00F43FE9" w:rsidRPr="0093429F">
        <w:rPr>
          <w:color w:val="auto"/>
        </w:rPr>
        <w:t xml:space="preserve"> (</w:t>
      </w:r>
      <w:r w:rsidR="00F43FE9" w:rsidRPr="0093429F">
        <w:rPr>
          <w:color w:val="auto"/>
          <w:highlight w:val="yellow"/>
        </w:rPr>
        <w:t>figura 4</w:t>
      </w:r>
      <w:r w:rsidR="00F43FE9" w:rsidRPr="0093429F">
        <w:rPr>
          <w:color w:val="auto"/>
        </w:rPr>
        <w:t>)</w:t>
      </w:r>
      <w:r w:rsidR="00075694" w:rsidRPr="0093429F">
        <w:rPr>
          <w:color w:val="auto"/>
        </w:rPr>
        <w:t>.</w:t>
      </w:r>
      <w:r w:rsidR="00D34C6A" w:rsidRPr="0093429F">
        <w:rPr>
          <w:color w:val="auto"/>
        </w:rPr>
        <w:t xml:space="preserve"> </w:t>
      </w:r>
    </w:p>
    <w:p w:rsidR="008568BE" w:rsidRPr="007631BC" w:rsidRDefault="00AC37CB" w:rsidP="00F41F65">
      <w:pPr>
        <w:spacing w:line="276" w:lineRule="auto"/>
        <w:jc w:val="both"/>
        <w:rPr>
          <w:color w:val="FF0000"/>
        </w:rPr>
      </w:pPr>
      <w:r w:rsidRPr="0093429F">
        <w:rPr>
          <w:color w:val="auto"/>
        </w:rPr>
        <w:t xml:space="preserve">Nella </w:t>
      </w:r>
      <w:r w:rsidR="008568BE" w:rsidRPr="0093429F">
        <w:rPr>
          <w:color w:val="auto"/>
        </w:rPr>
        <w:t xml:space="preserve">settimana </w:t>
      </w:r>
      <w:r w:rsidR="00F41F65" w:rsidRPr="0093429F">
        <w:rPr>
          <w:color w:val="auto"/>
        </w:rPr>
        <w:t>2</w:t>
      </w:r>
      <w:r w:rsidR="0093429F" w:rsidRPr="0093429F">
        <w:rPr>
          <w:color w:val="auto"/>
        </w:rPr>
        <w:t>3</w:t>
      </w:r>
      <w:r w:rsidR="00D3512D" w:rsidRPr="0093429F">
        <w:rPr>
          <w:color w:val="auto"/>
        </w:rPr>
        <w:t xml:space="preserve"> febbraio</w:t>
      </w:r>
      <w:r w:rsidR="0093429F" w:rsidRPr="0093429F">
        <w:rPr>
          <w:color w:val="auto"/>
        </w:rPr>
        <w:t>-1 marzo</w:t>
      </w:r>
      <w:r w:rsidR="00EA4C24" w:rsidRPr="0093429F">
        <w:rPr>
          <w:color w:val="auto"/>
        </w:rPr>
        <w:t xml:space="preserve"> </w:t>
      </w:r>
      <w:r w:rsidRPr="0093429F">
        <w:rPr>
          <w:color w:val="auto"/>
        </w:rPr>
        <w:t xml:space="preserve">in </w:t>
      </w:r>
      <w:r w:rsidR="00D3512D" w:rsidRPr="0093429F">
        <w:rPr>
          <w:color w:val="auto"/>
        </w:rPr>
        <w:t>tutte</w:t>
      </w:r>
      <w:r w:rsidR="00FE099F" w:rsidRPr="0093429F">
        <w:rPr>
          <w:color w:val="auto"/>
        </w:rPr>
        <w:t xml:space="preserve"> le</w:t>
      </w:r>
      <w:r w:rsidR="00036D6B" w:rsidRPr="0093429F">
        <w:rPr>
          <w:color w:val="auto"/>
        </w:rPr>
        <w:t xml:space="preserve"> </w:t>
      </w:r>
      <w:r w:rsidR="004B6A39" w:rsidRPr="0093429F">
        <w:rPr>
          <w:color w:val="auto"/>
        </w:rPr>
        <w:t xml:space="preserve">Regioni </w:t>
      </w:r>
      <w:r w:rsidR="00036D6B" w:rsidRPr="0093429F">
        <w:rPr>
          <w:color w:val="auto"/>
        </w:rPr>
        <w:t xml:space="preserve">si </w:t>
      </w:r>
      <w:r w:rsidR="00EA4C24" w:rsidRPr="0093429F">
        <w:rPr>
          <w:color w:val="auto"/>
        </w:rPr>
        <w:t xml:space="preserve">rileva </w:t>
      </w:r>
      <w:r w:rsidR="004B6A39" w:rsidRPr="0093429F">
        <w:rPr>
          <w:color w:val="auto"/>
        </w:rPr>
        <w:t>un</w:t>
      </w:r>
      <w:r w:rsidR="00634433" w:rsidRPr="0093429F">
        <w:rPr>
          <w:color w:val="auto"/>
        </w:rPr>
        <w:t>a riduzione</w:t>
      </w:r>
      <w:r w:rsidR="008568BE" w:rsidRPr="0093429F">
        <w:rPr>
          <w:color w:val="auto"/>
        </w:rPr>
        <w:t xml:space="preserve"> p</w:t>
      </w:r>
      <w:r w:rsidR="00ED6992" w:rsidRPr="0093429F">
        <w:rPr>
          <w:color w:val="auto"/>
        </w:rPr>
        <w:t>ercentuale dei nuovi casi</w:t>
      </w:r>
      <w:r w:rsidR="00044EB9" w:rsidRPr="0093429F">
        <w:rPr>
          <w:color w:val="auto"/>
        </w:rPr>
        <w:t>:</w:t>
      </w:r>
      <w:r w:rsidR="00911864" w:rsidRPr="0093429F">
        <w:rPr>
          <w:color w:val="auto"/>
        </w:rPr>
        <w:t xml:space="preserve"> </w:t>
      </w:r>
      <w:r w:rsidR="00B32A3E" w:rsidRPr="0093429F">
        <w:rPr>
          <w:color w:val="auto"/>
        </w:rPr>
        <w:t>da</w:t>
      </w:r>
      <w:r w:rsidR="00911864" w:rsidRPr="0093429F">
        <w:rPr>
          <w:color w:val="auto"/>
        </w:rPr>
        <w:t>l</w:t>
      </w:r>
      <w:r w:rsidR="00B03FFD" w:rsidRPr="0093429F">
        <w:rPr>
          <w:color w:val="auto"/>
        </w:rPr>
        <w:t xml:space="preserve"> </w:t>
      </w:r>
      <w:r w:rsidR="00EA4C24" w:rsidRPr="0093429F">
        <w:rPr>
          <w:color w:val="auto"/>
        </w:rPr>
        <w:t>-</w:t>
      </w:r>
      <w:r w:rsidR="0093429F" w:rsidRPr="0093429F">
        <w:rPr>
          <w:color w:val="auto"/>
        </w:rPr>
        <w:t>2</w:t>
      </w:r>
      <w:r w:rsidR="00F41F65" w:rsidRPr="0093429F">
        <w:rPr>
          <w:color w:val="auto"/>
        </w:rPr>
        <w:t>,</w:t>
      </w:r>
      <w:r w:rsidR="0093429F" w:rsidRPr="0093429F">
        <w:rPr>
          <w:color w:val="auto"/>
        </w:rPr>
        <w:t>5</w:t>
      </w:r>
      <w:r w:rsidR="00E82708" w:rsidRPr="0093429F">
        <w:rPr>
          <w:color w:val="auto"/>
        </w:rPr>
        <w:t>%</w:t>
      </w:r>
      <w:r w:rsidR="00F41F65" w:rsidRPr="0093429F">
        <w:rPr>
          <w:color w:val="auto"/>
        </w:rPr>
        <w:t xml:space="preserve"> della Calabria </w:t>
      </w:r>
      <w:r w:rsidR="00B32A3E" w:rsidRPr="0093429F">
        <w:rPr>
          <w:color w:val="auto"/>
        </w:rPr>
        <w:t xml:space="preserve">al </w:t>
      </w:r>
      <w:r w:rsidR="00EA4C24" w:rsidRPr="0093429F">
        <w:rPr>
          <w:color w:val="auto"/>
        </w:rPr>
        <w:t>-</w:t>
      </w:r>
      <w:r w:rsidR="00F41F65" w:rsidRPr="0093429F">
        <w:rPr>
          <w:color w:val="auto"/>
        </w:rPr>
        <w:t>3</w:t>
      </w:r>
      <w:r w:rsidR="0093429F" w:rsidRPr="0093429F">
        <w:rPr>
          <w:color w:val="auto"/>
        </w:rPr>
        <w:t>4</w:t>
      </w:r>
      <w:r w:rsidR="00F41F65" w:rsidRPr="0093429F">
        <w:rPr>
          <w:color w:val="auto"/>
        </w:rPr>
        <w:t>,</w:t>
      </w:r>
      <w:r w:rsidR="0093429F" w:rsidRPr="0093429F">
        <w:rPr>
          <w:color w:val="auto"/>
        </w:rPr>
        <w:t>1% della Sardegna</w:t>
      </w:r>
      <w:r w:rsidR="0064366A" w:rsidRPr="0093429F">
        <w:rPr>
          <w:color w:val="auto"/>
        </w:rPr>
        <w:t xml:space="preserve"> </w:t>
      </w:r>
      <w:r w:rsidR="008568BE" w:rsidRPr="0093429F">
        <w:rPr>
          <w:color w:val="auto"/>
        </w:rPr>
        <w:t>(</w:t>
      </w:r>
      <w:r w:rsidR="008568BE" w:rsidRPr="0093429F">
        <w:rPr>
          <w:color w:val="auto"/>
          <w:highlight w:val="yellow"/>
        </w:rPr>
        <w:t>tabella 1</w:t>
      </w:r>
      <w:r w:rsidR="008568BE" w:rsidRPr="0093429F">
        <w:rPr>
          <w:color w:val="auto"/>
        </w:rPr>
        <w:t xml:space="preserve">). </w:t>
      </w:r>
      <w:r w:rsidR="008C7A58">
        <w:rPr>
          <w:color w:val="auto"/>
        </w:rPr>
        <w:t>Scendono a</w:t>
      </w:r>
      <w:r w:rsidR="008C7A58" w:rsidRPr="0093429F">
        <w:rPr>
          <w:color w:val="auto"/>
        </w:rPr>
        <w:t xml:space="preserve"> </w:t>
      </w:r>
      <w:r w:rsidR="0093429F" w:rsidRPr="0093429F">
        <w:rPr>
          <w:color w:val="auto"/>
        </w:rPr>
        <w:t>42</w:t>
      </w:r>
      <w:r w:rsidR="00A5060E" w:rsidRPr="0093429F">
        <w:rPr>
          <w:color w:val="auto"/>
        </w:rPr>
        <w:t xml:space="preserve"> le Province </w:t>
      </w:r>
      <w:r w:rsidR="008C7A58">
        <w:rPr>
          <w:color w:val="auto"/>
        </w:rPr>
        <w:t>con incidenza superiore a</w:t>
      </w:r>
      <w:r w:rsidR="00A5060E" w:rsidRPr="0093429F">
        <w:rPr>
          <w:color w:val="auto"/>
        </w:rPr>
        <w:t xml:space="preserve"> 500 casi per 100.000 abitanti</w:t>
      </w:r>
      <w:r w:rsidR="0093429F" w:rsidRPr="0093429F">
        <w:rPr>
          <w:color w:val="auto"/>
        </w:rPr>
        <w:t xml:space="preserve"> Reggio di Calabria (1.035), Messina (896), Vibo Valentia (860), Lecce (848), Siracusa (814), Fermo (804), Oristano (790), Ascoli Piceno (724), Ragusa (705), Macerata (701), Teramo (700), Palermo (679), Rieti (669), Agrigento (666), Enna (653), Siena (651), Crotone (642), Ancona (641), Bolzano (626), Arezzo (620), L'Aquila (600), Potenza (596), Matera (595), Latina (590), Caltanissetta (586), Terni (586), Campobasso (586), Venezia (585), Foggia (580), Grosseto (578), Chieti (576), Perugia </w:t>
      </w:r>
      <w:r w:rsidR="0093429F" w:rsidRPr="0093429F">
        <w:rPr>
          <w:color w:val="auto"/>
        </w:rPr>
        <w:lastRenderedPageBreak/>
        <w:t>(571), Lucca (568), Trapani (568), Padova (553), Frosinone (552), Roma (539), Livorno (537), Pescara (536), Isernia (533), Sud Sardegna (521) e Taranto (508)</w:t>
      </w:r>
      <w:r w:rsidR="00A150BB" w:rsidRPr="0093429F">
        <w:rPr>
          <w:color w:val="auto"/>
        </w:rPr>
        <w:t xml:space="preserve"> </w:t>
      </w:r>
      <w:r w:rsidR="008568BE" w:rsidRPr="0093429F">
        <w:rPr>
          <w:color w:val="auto"/>
        </w:rPr>
        <w:t>(</w:t>
      </w:r>
      <w:r w:rsidR="008568BE" w:rsidRPr="0093429F">
        <w:rPr>
          <w:color w:val="auto"/>
          <w:highlight w:val="yellow"/>
        </w:rPr>
        <w:t>tabella 2</w:t>
      </w:r>
      <w:r w:rsidR="008568BE" w:rsidRPr="0093429F">
        <w:rPr>
          <w:color w:val="auto"/>
        </w:rPr>
        <w:t>).</w:t>
      </w:r>
    </w:p>
    <w:p w:rsidR="0093429F" w:rsidRPr="0093429F" w:rsidRDefault="0093429F" w:rsidP="008D2843">
      <w:pPr>
        <w:spacing w:line="276" w:lineRule="auto"/>
        <w:jc w:val="both"/>
        <w:rPr>
          <w:color w:val="auto"/>
        </w:rPr>
      </w:pPr>
      <w:r w:rsidRPr="0093429F">
        <w:rPr>
          <w:b/>
          <w:color w:val="auto"/>
        </w:rPr>
        <w:t>Testing.</w:t>
      </w:r>
      <w:r w:rsidRPr="0093429F">
        <w:rPr>
          <w:color w:val="auto"/>
        </w:rPr>
        <w:t xml:space="preserve"> Si registra un </w:t>
      </w:r>
      <w:r>
        <w:rPr>
          <w:color w:val="auto"/>
        </w:rPr>
        <w:t xml:space="preserve">ulteriore </w:t>
      </w:r>
      <w:r w:rsidRPr="0093429F">
        <w:rPr>
          <w:color w:val="auto"/>
        </w:rPr>
        <w:t xml:space="preserve">calo </w:t>
      </w:r>
      <w:r>
        <w:rPr>
          <w:color w:val="auto"/>
        </w:rPr>
        <w:t xml:space="preserve">dei tamponi totali (-12,7%): </w:t>
      </w:r>
      <w:r w:rsidRPr="0093429F">
        <w:rPr>
          <w:color w:val="auto"/>
        </w:rPr>
        <w:t>da 3.303.720 della settimana 16-22 febbraio a 2.885.324 della settimana 23 febbraio-1 marzo 2022</w:t>
      </w:r>
      <w:r>
        <w:rPr>
          <w:color w:val="auto"/>
        </w:rPr>
        <w:t xml:space="preserve">. In particolare i </w:t>
      </w:r>
      <w:r w:rsidRPr="0093429F">
        <w:rPr>
          <w:color w:val="auto"/>
        </w:rPr>
        <w:t xml:space="preserve">tamponi rapidi </w:t>
      </w:r>
      <w:r>
        <w:rPr>
          <w:color w:val="auto"/>
        </w:rPr>
        <w:t xml:space="preserve">si sono ridotti del 13,3% </w:t>
      </w:r>
      <w:r w:rsidRPr="0093429F">
        <w:rPr>
          <w:color w:val="auto"/>
        </w:rPr>
        <w:t>(-330.453</w:t>
      </w:r>
      <w:r>
        <w:rPr>
          <w:color w:val="auto"/>
        </w:rPr>
        <w:t>)</w:t>
      </w:r>
      <w:r w:rsidRPr="0093429F">
        <w:rPr>
          <w:color w:val="auto"/>
        </w:rPr>
        <w:t xml:space="preserve"> e quelli molecolari </w:t>
      </w:r>
      <w:r>
        <w:rPr>
          <w:color w:val="auto"/>
        </w:rPr>
        <w:t xml:space="preserve">del 10,7% </w:t>
      </w:r>
      <w:r w:rsidRPr="0093429F">
        <w:rPr>
          <w:color w:val="auto"/>
        </w:rPr>
        <w:t>(-87.943</w:t>
      </w:r>
      <w:r>
        <w:rPr>
          <w:color w:val="auto"/>
        </w:rPr>
        <w:t>)</w:t>
      </w:r>
      <w:r w:rsidRPr="0093429F">
        <w:rPr>
          <w:color w:val="auto"/>
        </w:rPr>
        <w:t xml:space="preserve"> (</w:t>
      </w:r>
      <w:r w:rsidRPr="0093429F">
        <w:rPr>
          <w:color w:val="auto"/>
          <w:highlight w:val="yellow"/>
        </w:rPr>
        <w:t>figura 5</w:t>
      </w:r>
      <w:r w:rsidRPr="0093429F">
        <w:rPr>
          <w:color w:val="auto"/>
        </w:rPr>
        <w:t xml:space="preserve">). La media mobile a 7 giorni del tasso di positività dei tamponi molecolari </w:t>
      </w:r>
      <w:r>
        <w:rPr>
          <w:color w:val="auto"/>
        </w:rPr>
        <w:t>passa dall’</w:t>
      </w:r>
      <w:r w:rsidRPr="0093429F">
        <w:rPr>
          <w:color w:val="auto"/>
        </w:rPr>
        <w:t>11,1% al 9%</w:t>
      </w:r>
      <w:r>
        <w:rPr>
          <w:color w:val="auto"/>
        </w:rPr>
        <w:t xml:space="preserve">, mentre per gli antigenici rapidi </w:t>
      </w:r>
      <w:r w:rsidRPr="0093429F">
        <w:rPr>
          <w:color w:val="auto"/>
        </w:rPr>
        <w:t>dal 10,4% al 9,</w:t>
      </w:r>
      <w:r>
        <w:rPr>
          <w:color w:val="auto"/>
        </w:rPr>
        <w:t>8</w:t>
      </w:r>
      <w:r w:rsidRPr="0093429F">
        <w:rPr>
          <w:color w:val="auto"/>
        </w:rPr>
        <w:t>% (</w:t>
      </w:r>
      <w:r w:rsidRPr="0093429F">
        <w:rPr>
          <w:color w:val="auto"/>
          <w:highlight w:val="yellow"/>
        </w:rPr>
        <w:t>figura 6</w:t>
      </w:r>
      <w:r w:rsidRPr="0093429F">
        <w:rPr>
          <w:color w:val="auto"/>
        </w:rPr>
        <w:t>).</w:t>
      </w:r>
    </w:p>
    <w:p w:rsidR="00127096" w:rsidRPr="0093429F" w:rsidRDefault="00C27708" w:rsidP="00500148">
      <w:pPr>
        <w:spacing w:line="276" w:lineRule="auto"/>
        <w:jc w:val="both"/>
        <w:rPr>
          <w:color w:val="auto"/>
        </w:rPr>
      </w:pPr>
      <w:bookmarkStart w:id="1" w:name="_Hlk85025666"/>
      <w:r w:rsidRPr="0093429F">
        <w:rPr>
          <w:b/>
          <w:color w:val="auto"/>
        </w:rPr>
        <w:t xml:space="preserve">Ospedalizzazioni. </w:t>
      </w:r>
      <w:r w:rsidR="002348FC" w:rsidRPr="0093429F">
        <w:rPr>
          <w:color w:val="auto"/>
        </w:rPr>
        <w:t>«</w:t>
      </w:r>
      <w:r w:rsidR="00C34550">
        <w:rPr>
          <w:color w:val="auto"/>
        </w:rPr>
        <w:t>Si allenta ulteriormente</w:t>
      </w:r>
      <w:r w:rsidR="0067511C">
        <w:rPr>
          <w:color w:val="auto"/>
        </w:rPr>
        <w:t xml:space="preserve"> </w:t>
      </w:r>
      <w:r w:rsidR="00932E57" w:rsidRPr="0093429F">
        <w:rPr>
          <w:color w:val="auto"/>
        </w:rPr>
        <w:t xml:space="preserve">la pressione sugli </w:t>
      </w:r>
      <w:r w:rsidR="002723FF" w:rsidRPr="0093429F">
        <w:rPr>
          <w:color w:val="auto"/>
        </w:rPr>
        <w:t>ospedali</w:t>
      </w:r>
      <w:r w:rsidR="00974518" w:rsidRPr="0093429F">
        <w:rPr>
          <w:color w:val="auto"/>
        </w:rPr>
        <w:t xml:space="preserve"> </w:t>
      </w:r>
      <w:r w:rsidR="00582BAE" w:rsidRPr="0093429F">
        <w:rPr>
          <w:color w:val="auto"/>
        </w:rPr>
        <w:t xml:space="preserve">– </w:t>
      </w:r>
      <w:r w:rsidR="002348FC" w:rsidRPr="0093429F">
        <w:rPr>
          <w:color w:val="auto"/>
        </w:rPr>
        <w:t>afferma Renata Gili, responsabile Ricerca sui Servizi S</w:t>
      </w:r>
      <w:r w:rsidR="00EE5241" w:rsidRPr="0093429F">
        <w:rPr>
          <w:color w:val="auto"/>
        </w:rPr>
        <w:t>anitari della Fondazione GIMBE</w:t>
      </w:r>
      <w:r w:rsidR="00B813D5" w:rsidRPr="0093429F">
        <w:rPr>
          <w:color w:val="auto"/>
        </w:rPr>
        <w:t xml:space="preserve"> –</w:t>
      </w:r>
      <w:r w:rsidR="00783A99" w:rsidRPr="0093429F">
        <w:rPr>
          <w:color w:val="auto"/>
        </w:rPr>
        <w:t xml:space="preserve"> </w:t>
      </w:r>
      <w:r w:rsidR="00904498" w:rsidRPr="0093429F">
        <w:rPr>
          <w:color w:val="auto"/>
        </w:rPr>
        <w:t>dove</w:t>
      </w:r>
      <w:r w:rsidR="00A90A08" w:rsidRPr="0093429F">
        <w:rPr>
          <w:color w:val="auto"/>
        </w:rPr>
        <w:t xml:space="preserve"> </w:t>
      </w:r>
      <w:r w:rsidR="00894BA6" w:rsidRPr="0093429F">
        <w:rPr>
          <w:color w:val="auto"/>
        </w:rPr>
        <w:t xml:space="preserve">i posti letto occupati da pazienti COVID </w:t>
      </w:r>
      <w:r w:rsidR="00CD2BF7" w:rsidRPr="0093429F">
        <w:rPr>
          <w:color w:val="auto"/>
        </w:rPr>
        <w:t xml:space="preserve">diminuiscono </w:t>
      </w:r>
      <w:r w:rsidR="00783A99" w:rsidRPr="0093429F">
        <w:rPr>
          <w:color w:val="auto"/>
        </w:rPr>
        <w:t xml:space="preserve">sia </w:t>
      </w:r>
      <w:r w:rsidR="00D6718E" w:rsidRPr="0093429F">
        <w:rPr>
          <w:color w:val="auto"/>
        </w:rPr>
        <w:t xml:space="preserve">in area medica </w:t>
      </w:r>
      <w:r w:rsidR="00894BA6" w:rsidRPr="0093429F">
        <w:rPr>
          <w:color w:val="auto"/>
        </w:rPr>
        <w:t>(-</w:t>
      </w:r>
      <w:r w:rsidR="0093429F" w:rsidRPr="0093429F">
        <w:rPr>
          <w:color w:val="auto"/>
        </w:rPr>
        <w:t>20</w:t>
      </w:r>
      <w:r w:rsidR="00894BA6" w:rsidRPr="0093429F">
        <w:rPr>
          <w:color w:val="auto"/>
        </w:rPr>
        <w:t xml:space="preserve">%) </w:t>
      </w:r>
      <w:r w:rsidR="00447CB6" w:rsidRPr="0093429F">
        <w:rPr>
          <w:color w:val="auto"/>
        </w:rPr>
        <w:t xml:space="preserve">che </w:t>
      </w:r>
      <w:r w:rsidR="00297DEB" w:rsidRPr="0093429F">
        <w:rPr>
          <w:color w:val="auto"/>
        </w:rPr>
        <w:t xml:space="preserve">in </w:t>
      </w:r>
      <w:r w:rsidR="00A51B01" w:rsidRPr="0093429F">
        <w:rPr>
          <w:color w:val="auto"/>
        </w:rPr>
        <w:t>terapia intensiva</w:t>
      </w:r>
      <w:r w:rsidR="00385142" w:rsidRPr="0093429F">
        <w:rPr>
          <w:color w:val="auto"/>
        </w:rPr>
        <w:t xml:space="preserve"> (-</w:t>
      </w:r>
      <w:r w:rsidR="0093429F" w:rsidRPr="0093429F">
        <w:rPr>
          <w:color w:val="auto"/>
        </w:rPr>
        <w:t>21</w:t>
      </w:r>
      <w:r w:rsidR="00385142" w:rsidRPr="0093429F">
        <w:rPr>
          <w:color w:val="auto"/>
        </w:rPr>
        <w:t>%)</w:t>
      </w:r>
      <w:r w:rsidR="00A51B01" w:rsidRPr="0093429F">
        <w:rPr>
          <w:color w:val="auto"/>
        </w:rPr>
        <w:t>»</w:t>
      </w:r>
      <w:r w:rsidR="000A422E" w:rsidRPr="0093429F">
        <w:rPr>
          <w:color w:val="auto"/>
        </w:rPr>
        <w:t xml:space="preserve">. </w:t>
      </w:r>
      <w:r w:rsidR="00B813D5" w:rsidRPr="0093429F">
        <w:rPr>
          <w:color w:val="auto"/>
        </w:rPr>
        <w:t xml:space="preserve">In particolare, in </w:t>
      </w:r>
      <w:r w:rsidR="00904498" w:rsidRPr="0093429F">
        <w:rPr>
          <w:color w:val="auto"/>
        </w:rPr>
        <w:t>area critica</w:t>
      </w:r>
      <w:r w:rsidR="00376E88" w:rsidRPr="0093429F">
        <w:rPr>
          <w:color w:val="auto"/>
        </w:rPr>
        <w:t xml:space="preserve"> </w:t>
      </w:r>
      <w:r w:rsidR="00CD2BF7" w:rsidRPr="0093429F">
        <w:rPr>
          <w:color w:val="auto"/>
        </w:rPr>
        <w:t>da</w:t>
      </w:r>
      <w:r w:rsidR="00376E88" w:rsidRPr="0093429F">
        <w:rPr>
          <w:color w:val="auto"/>
        </w:rPr>
        <w:t>l picco di</w:t>
      </w:r>
      <w:r w:rsidR="00CD2BF7" w:rsidRPr="0093429F">
        <w:rPr>
          <w:color w:val="auto"/>
        </w:rPr>
        <w:t xml:space="preserve"> 1.717 del 17 gennaio </w:t>
      </w:r>
      <w:r w:rsidR="00C34550">
        <w:rPr>
          <w:color w:val="auto"/>
        </w:rPr>
        <w:t xml:space="preserve">i ricoveri scendono </w:t>
      </w:r>
      <w:r w:rsidR="00CD2BF7" w:rsidRPr="0093429F">
        <w:rPr>
          <w:color w:val="auto"/>
        </w:rPr>
        <w:t xml:space="preserve">a </w:t>
      </w:r>
      <w:r w:rsidR="0093429F" w:rsidRPr="0093429F">
        <w:rPr>
          <w:color w:val="auto"/>
        </w:rPr>
        <w:t>708</w:t>
      </w:r>
      <w:r w:rsidR="00CD2BF7" w:rsidRPr="0093429F">
        <w:rPr>
          <w:color w:val="auto"/>
        </w:rPr>
        <w:t xml:space="preserve"> </w:t>
      </w:r>
      <w:r w:rsidR="006B7129">
        <w:rPr>
          <w:color w:val="auto"/>
        </w:rPr>
        <w:t>il</w:t>
      </w:r>
      <w:r w:rsidR="006B7129" w:rsidRPr="0093429F">
        <w:rPr>
          <w:color w:val="auto"/>
        </w:rPr>
        <w:t xml:space="preserve"> </w:t>
      </w:r>
      <w:r w:rsidR="0093429F" w:rsidRPr="0093429F">
        <w:rPr>
          <w:color w:val="auto"/>
        </w:rPr>
        <w:t>1</w:t>
      </w:r>
      <w:r w:rsidR="006B7129">
        <w:rPr>
          <w:color w:val="auto"/>
        </w:rPr>
        <w:t>°</w:t>
      </w:r>
      <w:r w:rsidR="0093429F" w:rsidRPr="0093429F">
        <w:rPr>
          <w:color w:val="auto"/>
        </w:rPr>
        <w:t xml:space="preserve"> marzo</w:t>
      </w:r>
      <w:r w:rsidR="00376E88" w:rsidRPr="0093429F">
        <w:rPr>
          <w:color w:val="auto"/>
        </w:rPr>
        <w:t xml:space="preserve">; in area medica </w:t>
      </w:r>
      <w:r w:rsidR="00E74FB2" w:rsidRPr="0093429F">
        <w:rPr>
          <w:color w:val="auto"/>
        </w:rPr>
        <w:t>da</w:t>
      </w:r>
      <w:r w:rsidR="00376E88" w:rsidRPr="0093429F">
        <w:rPr>
          <w:color w:val="auto"/>
        </w:rPr>
        <w:t>l picco di</w:t>
      </w:r>
      <w:r w:rsidR="00E74FB2" w:rsidRPr="0093429F">
        <w:rPr>
          <w:color w:val="auto"/>
        </w:rPr>
        <w:t xml:space="preserve"> 19.</w:t>
      </w:r>
      <w:r w:rsidR="0092307C" w:rsidRPr="0093429F">
        <w:rPr>
          <w:color w:val="auto"/>
        </w:rPr>
        <w:t>913</w:t>
      </w:r>
      <w:r w:rsidR="00E74FB2" w:rsidRPr="0093429F">
        <w:rPr>
          <w:color w:val="auto"/>
        </w:rPr>
        <w:t xml:space="preserve"> del </w:t>
      </w:r>
      <w:r w:rsidR="00447CB6" w:rsidRPr="0093429F">
        <w:rPr>
          <w:color w:val="auto"/>
        </w:rPr>
        <w:t>31</w:t>
      </w:r>
      <w:r w:rsidR="00E74FB2" w:rsidRPr="0093429F">
        <w:rPr>
          <w:color w:val="auto"/>
        </w:rPr>
        <w:t xml:space="preserve"> gennaio a </w:t>
      </w:r>
      <w:r w:rsidR="0093429F" w:rsidRPr="0093429F">
        <w:rPr>
          <w:color w:val="auto"/>
        </w:rPr>
        <w:t>10.456</w:t>
      </w:r>
      <w:r w:rsidR="00F41F65" w:rsidRPr="0093429F">
        <w:rPr>
          <w:color w:val="auto"/>
        </w:rPr>
        <w:t xml:space="preserve"> </w:t>
      </w:r>
      <w:r w:rsidR="006B7129">
        <w:rPr>
          <w:color w:val="auto"/>
        </w:rPr>
        <w:t>il</w:t>
      </w:r>
      <w:r w:rsidR="006B7129" w:rsidRPr="0093429F">
        <w:rPr>
          <w:color w:val="auto"/>
        </w:rPr>
        <w:t xml:space="preserve"> </w:t>
      </w:r>
      <w:r w:rsidR="0093429F" w:rsidRPr="0093429F">
        <w:rPr>
          <w:color w:val="auto"/>
        </w:rPr>
        <w:t>1</w:t>
      </w:r>
      <w:r w:rsidR="006B7129">
        <w:rPr>
          <w:color w:val="auto"/>
        </w:rPr>
        <w:t>°</w:t>
      </w:r>
      <w:r w:rsidR="0093429F" w:rsidRPr="0093429F">
        <w:rPr>
          <w:color w:val="auto"/>
        </w:rPr>
        <w:t xml:space="preserve"> marzo </w:t>
      </w:r>
      <w:r w:rsidR="008B58B8" w:rsidRPr="0093429F">
        <w:rPr>
          <w:color w:val="auto"/>
        </w:rPr>
        <w:t>(</w:t>
      </w:r>
      <w:r w:rsidR="008B58B8" w:rsidRPr="0093429F">
        <w:rPr>
          <w:color w:val="auto"/>
          <w:highlight w:val="yellow"/>
        </w:rPr>
        <w:t xml:space="preserve">figura </w:t>
      </w:r>
      <w:r w:rsidR="00061647" w:rsidRPr="0093429F">
        <w:rPr>
          <w:color w:val="auto"/>
          <w:highlight w:val="yellow"/>
        </w:rPr>
        <w:t>7</w:t>
      </w:r>
      <w:r w:rsidR="008B58B8" w:rsidRPr="0093429F">
        <w:rPr>
          <w:color w:val="auto"/>
        </w:rPr>
        <w:t>)</w:t>
      </w:r>
      <w:r w:rsidR="00297DEB" w:rsidRPr="0093429F">
        <w:rPr>
          <w:color w:val="auto"/>
        </w:rPr>
        <w:t>.</w:t>
      </w:r>
      <w:r w:rsidR="00E74FB2" w:rsidRPr="0093429F">
        <w:rPr>
          <w:color w:val="auto"/>
        </w:rPr>
        <w:t xml:space="preserve"> </w:t>
      </w:r>
      <w:r w:rsidR="00874C6D" w:rsidRPr="00571B0C">
        <w:rPr>
          <w:color w:val="auto"/>
        </w:rPr>
        <w:t>Al</w:t>
      </w:r>
      <w:r w:rsidR="00433412" w:rsidRPr="00571B0C">
        <w:rPr>
          <w:color w:val="auto"/>
        </w:rPr>
        <w:t xml:space="preserve"> </w:t>
      </w:r>
      <w:r w:rsidR="0093429F" w:rsidRPr="00571B0C">
        <w:rPr>
          <w:color w:val="auto"/>
        </w:rPr>
        <w:t>1</w:t>
      </w:r>
      <w:r w:rsidR="006B7129">
        <w:rPr>
          <w:color w:val="auto"/>
        </w:rPr>
        <w:t>°</w:t>
      </w:r>
      <w:r w:rsidR="0093429F" w:rsidRPr="00571B0C">
        <w:rPr>
          <w:color w:val="auto"/>
        </w:rPr>
        <w:t xml:space="preserve"> marzo</w:t>
      </w:r>
      <w:r w:rsidR="00894BA6" w:rsidRPr="00571B0C">
        <w:rPr>
          <w:color w:val="auto"/>
        </w:rPr>
        <w:t xml:space="preserve"> </w:t>
      </w:r>
      <w:r w:rsidR="002348FC" w:rsidRPr="00571B0C">
        <w:rPr>
          <w:color w:val="auto"/>
        </w:rPr>
        <w:t xml:space="preserve">il tasso </w:t>
      </w:r>
      <w:r w:rsidR="00894BA6" w:rsidRPr="00571B0C">
        <w:rPr>
          <w:color w:val="auto"/>
        </w:rPr>
        <w:t xml:space="preserve">nazionale </w:t>
      </w:r>
      <w:r w:rsidR="002348FC" w:rsidRPr="00571B0C">
        <w:rPr>
          <w:color w:val="auto"/>
        </w:rPr>
        <w:t xml:space="preserve">di occupazione </w:t>
      </w:r>
      <w:r w:rsidR="004C18D7" w:rsidRPr="00571B0C">
        <w:rPr>
          <w:color w:val="auto"/>
        </w:rPr>
        <w:t xml:space="preserve">da parte di pazienti COVID </w:t>
      </w:r>
      <w:r w:rsidR="002348FC" w:rsidRPr="00571B0C">
        <w:rPr>
          <w:color w:val="auto"/>
        </w:rPr>
        <w:t xml:space="preserve">è </w:t>
      </w:r>
      <w:r w:rsidR="005278CA" w:rsidRPr="00571B0C">
        <w:rPr>
          <w:color w:val="auto"/>
        </w:rPr>
        <w:t>del</w:t>
      </w:r>
      <w:r w:rsidR="00393F63" w:rsidRPr="00571B0C">
        <w:rPr>
          <w:color w:val="auto"/>
        </w:rPr>
        <w:t xml:space="preserve"> </w:t>
      </w:r>
      <w:r w:rsidR="00571B0C" w:rsidRPr="00571B0C">
        <w:rPr>
          <w:color w:val="auto"/>
        </w:rPr>
        <w:t>16</w:t>
      </w:r>
      <w:r w:rsidR="002E37EA" w:rsidRPr="00571B0C">
        <w:rPr>
          <w:color w:val="auto"/>
        </w:rPr>
        <w:t>% in area medica e del</w:t>
      </w:r>
      <w:r w:rsidR="00FF2D69" w:rsidRPr="00571B0C">
        <w:rPr>
          <w:color w:val="auto"/>
        </w:rPr>
        <w:t xml:space="preserve"> </w:t>
      </w:r>
      <w:r w:rsidR="00571B0C" w:rsidRPr="00571B0C">
        <w:rPr>
          <w:color w:val="auto"/>
        </w:rPr>
        <w:t>7</w:t>
      </w:r>
      <w:r w:rsidR="00447CB6" w:rsidRPr="00571B0C">
        <w:rPr>
          <w:color w:val="auto"/>
        </w:rPr>
        <w:t>,</w:t>
      </w:r>
      <w:r w:rsidR="00571B0C" w:rsidRPr="00571B0C">
        <w:rPr>
          <w:color w:val="auto"/>
        </w:rPr>
        <w:t>4</w:t>
      </w:r>
      <w:r w:rsidR="002348FC" w:rsidRPr="00571B0C">
        <w:rPr>
          <w:color w:val="auto"/>
        </w:rPr>
        <w:t>% in area critica</w:t>
      </w:r>
      <w:bookmarkEnd w:id="1"/>
      <w:r w:rsidR="00C97388" w:rsidRPr="00571B0C">
        <w:rPr>
          <w:color w:val="auto"/>
        </w:rPr>
        <w:t>.</w:t>
      </w:r>
      <w:r w:rsidR="00341691" w:rsidRPr="00571B0C">
        <w:rPr>
          <w:color w:val="auto"/>
        </w:rPr>
        <w:t xml:space="preserve"> </w:t>
      </w:r>
      <w:r w:rsidR="00A5060E" w:rsidRPr="00571B0C">
        <w:rPr>
          <w:color w:val="auto"/>
        </w:rPr>
        <w:t>Ad eccezione di</w:t>
      </w:r>
      <w:r w:rsidR="00127096" w:rsidRPr="00571B0C">
        <w:rPr>
          <w:color w:val="auto"/>
        </w:rPr>
        <w:t xml:space="preserve"> </w:t>
      </w:r>
      <w:r w:rsidR="00571B0C" w:rsidRPr="00571B0C">
        <w:rPr>
          <w:color w:val="auto"/>
        </w:rPr>
        <w:t xml:space="preserve">Emilia-Romagna, </w:t>
      </w:r>
      <w:r w:rsidR="00127096" w:rsidRPr="00571B0C">
        <w:rPr>
          <w:color w:val="auto"/>
        </w:rPr>
        <w:t>Lombardi</w:t>
      </w:r>
      <w:r w:rsidR="00571B0C" w:rsidRPr="00571B0C">
        <w:rPr>
          <w:color w:val="auto"/>
        </w:rPr>
        <w:t xml:space="preserve">a, Provincia Autonoma di Trento, Piemonte, Valle D’Aosta </w:t>
      </w:r>
      <w:r w:rsidR="00127096" w:rsidRPr="00571B0C">
        <w:rPr>
          <w:color w:val="auto"/>
        </w:rPr>
        <w:t>e Veneto</w:t>
      </w:r>
      <w:r w:rsidR="00FF2D69" w:rsidRPr="00571B0C">
        <w:rPr>
          <w:color w:val="auto"/>
        </w:rPr>
        <w:t>,</w:t>
      </w:r>
      <w:r w:rsidR="00341691" w:rsidRPr="00571B0C">
        <w:rPr>
          <w:color w:val="auto"/>
        </w:rPr>
        <w:t xml:space="preserve"> </w:t>
      </w:r>
      <w:r w:rsidR="00A5060E" w:rsidRPr="00571B0C">
        <w:rPr>
          <w:color w:val="auto"/>
        </w:rPr>
        <w:t>tutte le</w:t>
      </w:r>
      <w:r w:rsidR="00341691" w:rsidRPr="00571B0C">
        <w:rPr>
          <w:color w:val="auto"/>
        </w:rPr>
        <w:t xml:space="preserve"> Regioni superano la soglia del 15% in area medica</w:t>
      </w:r>
      <w:r w:rsidR="005354A9" w:rsidRPr="00571B0C">
        <w:rPr>
          <w:color w:val="auto"/>
        </w:rPr>
        <w:t xml:space="preserve">; </w:t>
      </w:r>
      <w:r w:rsidR="00571B0C" w:rsidRPr="00571B0C">
        <w:rPr>
          <w:color w:val="auto"/>
        </w:rPr>
        <w:t>Lazio e Sardegna</w:t>
      </w:r>
      <w:r w:rsidR="00A5060E" w:rsidRPr="00571B0C">
        <w:rPr>
          <w:color w:val="auto"/>
        </w:rPr>
        <w:t xml:space="preserve"> </w:t>
      </w:r>
      <w:r w:rsidR="00C808C1" w:rsidRPr="00571B0C">
        <w:rPr>
          <w:color w:val="auto"/>
        </w:rPr>
        <w:t xml:space="preserve">vanno oltre </w:t>
      </w:r>
      <w:r w:rsidR="00341691" w:rsidRPr="00571B0C">
        <w:rPr>
          <w:color w:val="auto"/>
        </w:rPr>
        <w:t>la soglia del 10% in area critica</w:t>
      </w:r>
      <w:r w:rsidR="00036D6B" w:rsidRPr="00571B0C">
        <w:rPr>
          <w:color w:val="auto"/>
        </w:rPr>
        <w:t xml:space="preserve"> </w:t>
      </w:r>
      <w:r w:rsidR="004B6DC2" w:rsidRPr="00571B0C">
        <w:rPr>
          <w:color w:val="auto"/>
        </w:rPr>
        <w:t>(</w:t>
      </w:r>
      <w:r w:rsidR="004B6DC2" w:rsidRPr="00571B0C">
        <w:rPr>
          <w:color w:val="auto"/>
          <w:highlight w:val="yellow"/>
        </w:rPr>
        <w:t xml:space="preserve">figura </w:t>
      </w:r>
      <w:r w:rsidR="00061647" w:rsidRPr="00571B0C">
        <w:rPr>
          <w:color w:val="auto"/>
          <w:highlight w:val="yellow"/>
        </w:rPr>
        <w:t>8</w:t>
      </w:r>
      <w:r w:rsidR="004B6DC2" w:rsidRPr="00571B0C">
        <w:rPr>
          <w:color w:val="auto"/>
        </w:rPr>
        <w:t>)</w:t>
      </w:r>
      <w:r w:rsidR="00341691" w:rsidRPr="00571B0C">
        <w:rPr>
          <w:color w:val="auto"/>
        </w:rPr>
        <w:t>.</w:t>
      </w:r>
      <w:r w:rsidR="008D2843" w:rsidRPr="00571B0C">
        <w:rPr>
          <w:color w:val="auto"/>
        </w:rPr>
        <w:t xml:space="preserve"> </w:t>
      </w:r>
      <w:r w:rsidR="00BD67DE" w:rsidRPr="00571B0C">
        <w:rPr>
          <w:color w:val="auto"/>
        </w:rPr>
        <w:t>«</w:t>
      </w:r>
      <w:r w:rsidR="00E94BC6" w:rsidRPr="00571B0C">
        <w:rPr>
          <w:color w:val="auto"/>
        </w:rPr>
        <w:t xml:space="preserve">Si conferma </w:t>
      </w:r>
      <w:r w:rsidR="00E94BC6" w:rsidRPr="0093429F">
        <w:rPr>
          <w:color w:val="auto"/>
        </w:rPr>
        <w:t>un</w:t>
      </w:r>
      <w:r w:rsidR="00B4181F" w:rsidRPr="0093429F">
        <w:rPr>
          <w:color w:val="auto"/>
        </w:rPr>
        <w:t>’</w:t>
      </w:r>
      <w:r w:rsidR="00E94BC6" w:rsidRPr="0093429F">
        <w:rPr>
          <w:color w:val="auto"/>
        </w:rPr>
        <w:t xml:space="preserve">ulteriore </w:t>
      </w:r>
      <w:r w:rsidR="00B4181F" w:rsidRPr="0093429F">
        <w:rPr>
          <w:color w:val="auto"/>
        </w:rPr>
        <w:t xml:space="preserve">riduzione </w:t>
      </w:r>
      <w:r w:rsidR="00DE2DDF" w:rsidRPr="0093429F">
        <w:rPr>
          <w:color w:val="auto"/>
        </w:rPr>
        <w:t>de</w:t>
      </w:r>
      <w:r w:rsidR="00C76A43" w:rsidRPr="0093429F">
        <w:rPr>
          <w:color w:val="auto"/>
        </w:rPr>
        <w:t>gli ingressi giornalieri in terapia intensiva</w:t>
      </w:r>
      <w:r w:rsidR="00C644BF" w:rsidRPr="0093429F">
        <w:rPr>
          <w:color w:val="auto"/>
        </w:rPr>
        <w:t xml:space="preserve"> </w:t>
      </w:r>
      <w:r w:rsidR="00451468" w:rsidRPr="0093429F">
        <w:rPr>
          <w:color w:val="auto"/>
        </w:rPr>
        <w:t>– puntualizza Marco Mosti, Direttore Operativo della Fondazione GIMBE –</w:t>
      </w:r>
      <w:r w:rsidR="00C76A43" w:rsidRPr="0093429F">
        <w:rPr>
          <w:color w:val="auto"/>
        </w:rPr>
        <w:t xml:space="preserve"> </w:t>
      </w:r>
      <w:r w:rsidR="00443A0B" w:rsidRPr="0093429F">
        <w:rPr>
          <w:color w:val="auto"/>
        </w:rPr>
        <w:t>la cui</w:t>
      </w:r>
      <w:r w:rsidR="00547F28" w:rsidRPr="0093429F">
        <w:rPr>
          <w:color w:val="auto"/>
        </w:rPr>
        <w:t xml:space="preserve"> </w:t>
      </w:r>
      <w:r w:rsidR="00BD67DE" w:rsidRPr="0093429F">
        <w:rPr>
          <w:color w:val="auto"/>
        </w:rPr>
        <w:t xml:space="preserve">media mobile a 7 giorni </w:t>
      </w:r>
      <w:r w:rsidR="00615C81" w:rsidRPr="0093429F">
        <w:rPr>
          <w:color w:val="auto"/>
        </w:rPr>
        <w:t xml:space="preserve">scende </w:t>
      </w:r>
      <w:r w:rsidR="004D49EC" w:rsidRPr="0093429F">
        <w:rPr>
          <w:color w:val="auto"/>
        </w:rPr>
        <w:t>a</w:t>
      </w:r>
      <w:r w:rsidR="00F41F65" w:rsidRPr="0093429F">
        <w:rPr>
          <w:color w:val="auto"/>
        </w:rPr>
        <w:t xml:space="preserve"> </w:t>
      </w:r>
      <w:r w:rsidR="00120F46">
        <w:rPr>
          <w:color w:val="auto"/>
        </w:rPr>
        <w:t>54</w:t>
      </w:r>
      <w:r w:rsidR="004D49EC" w:rsidRPr="0093429F">
        <w:rPr>
          <w:color w:val="auto"/>
        </w:rPr>
        <w:t xml:space="preserve"> </w:t>
      </w:r>
      <w:r w:rsidR="00547F28" w:rsidRPr="0093429F">
        <w:rPr>
          <w:color w:val="auto"/>
        </w:rPr>
        <w:t xml:space="preserve">ingressi/die </w:t>
      </w:r>
      <w:r w:rsidR="004D49EC" w:rsidRPr="0093429F">
        <w:rPr>
          <w:color w:val="auto"/>
        </w:rPr>
        <w:t>ris</w:t>
      </w:r>
      <w:r w:rsidR="00127096" w:rsidRPr="0093429F">
        <w:rPr>
          <w:color w:val="auto"/>
        </w:rPr>
        <w:t xml:space="preserve">petto </w:t>
      </w:r>
      <w:r w:rsidR="00C34550">
        <w:rPr>
          <w:color w:val="auto"/>
        </w:rPr>
        <w:t>ai</w:t>
      </w:r>
      <w:r w:rsidR="00C34550" w:rsidRPr="0093429F">
        <w:rPr>
          <w:color w:val="auto"/>
        </w:rPr>
        <w:t xml:space="preserve"> </w:t>
      </w:r>
      <w:r w:rsidR="00120F46">
        <w:rPr>
          <w:color w:val="auto"/>
        </w:rPr>
        <w:t>66</w:t>
      </w:r>
      <w:r w:rsidR="00127096" w:rsidRPr="0093429F">
        <w:rPr>
          <w:color w:val="auto"/>
        </w:rPr>
        <w:t xml:space="preserve"> </w:t>
      </w:r>
      <w:r w:rsidR="004D49EC" w:rsidRPr="0093429F">
        <w:rPr>
          <w:color w:val="auto"/>
        </w:rPr>
        <w:t>della settimana precedente</w:t>
      </w:r>
      <w:r w:rsidR="00D42AAE" w:rsidRPr="0093429F">
        <w:rPr>
          <w:color w:val="auto"/>
        </w:rPr>
        <w:t>»</w:t>
      </w:r>
      <w:r w:rsidR="00BD67DE" w:rsidRPr="0093429F">
        <w:rPr>
          <w:color w:val="auto"/>
        </w:rPr>
        <w:t xml:space="preserve"> (</w:t>
      </w:r>
      <w:r w:rsidR="00BD67DE" w:rsidRPr="0093429F">
        <w:rPr>
          <w:color w:val="auto"/>
          <w:highlight w:val="yellow"/>
        </w:rPr>
        <w:t>figura</w:t>
      </w:r>
      <w:r w:rsidR="00C91686" w:rsidRPr="0093429F">
        <w:rPr>
          <w:color w:val="auto"/>
          <w:highlight w:val="yellow"/>
        </w:rPr>
        <w:t xml:space="preserve"> </w:t>
      </w:r>
      <w:r w:rsidR="00061647" w:rsidRPr="0093429F">
        <w:rPr>
          <w:color w:val="auto"/>
          <w:highlight w:val="yellow"/>
        </w:rPr>
        <w:t>9</w:t>
      </w:r>
      <w:r w:rsidR="00BD67DE" w:rsidRPr="0093429F">
        <w:rPr>
          <w:color w:val="auto"/>
        </w:rPr>
        <w:t>).</w:t>
      </w:r>
    </w:p>
    <w:p w:rsidR="00F41F65" w:rsidRPr="00120F46" w:rsidRDefault="00483722" w:rsidP="00483722">
      <w:pPr>
        <w:jc w:val="both"/>
        <w:rPr>
          <w:color w:val="auto"/>
        </w:rPr>
      </w:pPr>
      <w:r w:rsidRPr="00120F46">
        <w:rPr>
          <w:b/>
          <w:color w:val="auto"/>
        </w:rPr>
        <w:t xml:space="preserve">Decessi. </w:t>
      </w:r>
      <w:r w:rsidR="00F41F65" w:rsidRPr="00120F46">
        <w:rPr>
          <w:color w:val="auto"/>
        </w:rPr>
        <w:t xml:space="preserve">Diminuiscono </w:t>
      </w:r>
      <w:r w:rsidR="00376E88" w:rsidRPr="00120F46">
        <w:rPr>
          <w:color w:val="auto"/>
        </w:rPr>
        <w:t xml:space="preserve">ancora </w:t>
      </w:r>
      <w:r w:rsidR="00F41F65" w:rsidRPr="00120F46">
        <w:rPr>
          <w:color w:val="auto"/>
        </w:rPr>
        <w:t xml:space="preserve">i decessi: </w:t>
      </w:r>
      <w:r w:rsidR="00120F46" w:rsidRPr="00120F46">
        <w:rPr>
          <w:color w:val="auto"/>
        </w:rPr>
        <w:t>1.488 negli ultimi 7 giorni (di cui 122 riferiti a periodi precedenti), con una media di 213 al giorno rispetto ai 261 della settimana precedente.</w:t>
      </w:r>
    </w:p>
    <w:p w:rsidR="002202C1" w:rsidRPr="0012436D" w:rsidRDefault="002A2549" w:rsidP="002202C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2A2549">
        <w:rPr>
          <w:b/>
          <w:color w:val="auto"/>
        </w:rPr>
        <w:t>Vaccini: somministrazioni.</w:t>
      </w:r>
      <w:r w:rsidRPr="002A2549">
        <w:rPr>
          <w:color w:val="auto"/>
        </w:rPr>
        <w:t xml:space="preserve"> Al 2 m</w:t>
      </w:r>
      <w:r>
        <w:rPr>
          <w:color w:val="auto"/>
        </w:rPr>
        <w:t xml:space="preserve">arzo (aggiornamento ore 06.18) </w:t>
      </w:r>
      <w:r w:rsidRPr="002A2549">
        <w:rPr>
          <w:color w:val="auto"/>
        </w:rPr>
        <w:t>l</w:t>
      </w:r>
      <w:r>
        <w:rPr>
          <w:color w:val="auto"/>
        </w:rPr>
        <w:t>’</w:t>
      </w:r>
      <w:r w:rsidRPr="002A2549">
        <w:rPr>
          <w:color w:val="auto"/>
        </w:rPr>
        <w:t>85,5% della popolazione (n. 50.638.877) ha ricevuto almeno una dose di vaccino (+41.560 rispetto alla settimana precedente) e l</w:t>
      </w:r>
      <w:r>
        <w:rPr>
          <w:color w:val="auto"/>
        </w:rPr>
        <w:t>’</w:t>
      </w:r>
      <w:r w:rsidRPr="002A2549">
        <w:rPr>
          <w:color w:val="auto"/>
        </w:rPr>
        <w:t>83,4% (n. 49.397.711) ha completato il ciclo vaccinale (+229.793 rispetto alla settimana precedente) (</w:t>
      </w:r>
      <w:r w:rsidRPr="002A2549">
        <w:rPr>
          <w:color w:val="auto"/>
          <w:highlight w:val="yellow"/>
        </w:rPr>
        <w:t>figura 10</w:t>
      </w:r>
      <w:r w:rsidRPr="002A2549">
        <w:rPr>
          <w:color w:val="auto"/>
        </w:rPr>
        <w:t xml:space="preserve">). In calo nell’ultima settimana il numero di somministrazioni (n. 752.285), con una media mobile a 7 giorni di 107.469 somministrazioni/die: </w:t>
      </w:r>
      <w:r>
        <w:rPr>
          <w:color w:val="auto"/>
        </w:rPr>
        <w:t>calano</w:t>
      </w:r>
      <w:r w:rsidRPr="002A2549">
        <w:rPr>
          <w:color w:val="auto"/>
        </w:rPr>
        <w:t xml:space="preserve"> del 20,1% le terze dosi (n. 503.935) e del 34,4% i nuovi vaccinati (n. 38.796) (</w:t>
      </w:r>
      <w:r w:rsidRPr="002A2549">
        <w:rPr>
          <w:color w:val="auto"/>
          <w:highlight w:val="yellow"/>
        </w:rPr>
        <w:t>figura 11</w:t>
      </w:r>
      <w:r w:rsidRPr="002A2549">
        <w:rPr>
          <w:color w:val="auto"/>
        </w:rPr>
        <w:t>).</w:t>
      </w:r>
      <w:r w:rsidR="002202C1">
        <w:rPr>
          <w:color w:val="auto"/>
        </w:rPr>
        <w:t xml:space="preserve"> Nella settimana </w:t>
      </w:r>
      <w:r w:rsidR="002202C1" w:rsidRPr="002202C1">
        <w:rPr>
          <w:color w:val="auto"/>
        </w:rPr>
        <w:t xml:space="preserve">23 febbraio-1 marzo </w:t>
      </w:r>
      <w:r w:rsidR="002202C1">
        <w:rPr>
          <w:color w:val="auto"/>
        </w:rPr>
        <w:t>sono stat</w:t>
      </w:r>
      <w:r w:rsidR="00FF4047">
        <w:rPr>
          <w:color w:val="auto"/>
        </w:rPr>
        <w:t>e</w:t>
      </w:r>
      <w:r w:rsidR="002202C1">
        <w:rPr>
          <w:color w:val="auto"/>
        </w:rPr>
        <w:t xml:space="preserve"> </w:t>
      </w:r>
      <w:r w:rsidR="00FF4047">
        <w:rPr>
          <w:color w:val="auto"/>
        </w:rPr>
        <w:t xml:space="preserve">consegnate </w:t>
      </w:r>
      <w:r w:rsidR="002202C1">
        <w:rPr>
          <w:color w:val="auto"/>
        </w:rPr>
        <w:t xml:space="preserve">le prime 1.023.000 dosi del vaccino </w:t>
      </w:r>
      <w:r w:rsidR="002202C1" w:rsidRPr="00652242">
        <w:rPr>
          <w:color w:val="auto"/>
        </w:rPr>
        <w:t>Novavax</w:t>
      </w:r>
      <w:r w:rsidR="00FF4047">
        <w:rPr>
          <w:color w:val="auto"/>
        </w:rPr>
        <w:t>, le cui somministrazioni sono iniziate</w:t>
      </w:r>
      <w:r w:rsidR="002202C1" w:rsidRPr="00652242">
        <w:rPr>
          <w:color w:val="auto"/>
        </w:rPr>
        <w:t xml:space="preserve"> </w:t>
      </w:r>
      <w:r w:rsidR="00FF4047">
        <w:rPr>
          <w:color w:val="auto"/>
        </w:rPr>
        <w:t>il</w:t>
      </w:r>
      <w:r w:rsidR="002202C1">
        <w:rPr>
          <w:color w:val="auto"/>
        </w:rPr>
        <w:t xml:space="preserve"> 28 febbraio</w:t>
      </w:r>
      <w:r w:rsidR="00FF4047">
        <w:rPr>
          <w:color w:val="auto"/>
        </w:rPr>
        <w:t xml:space="preserve"> (n. 3.382 somministrazioni </w:t>
      </w:r>
      <w:r w:rsidR="002202C1">
        <w:rPr>
          <w:color w:val="auto"/>
        </w:rPr>
        <w:t>nei primi due giorni</w:t>
      </w:r>
      <w:r w:rsidR="00FF4047">
        <w:rPr>
          <w:color w:val="auto"/>
        </w:rPr>
        <w:t>)</w:t>
      </w:r>
      <w:r w:rsidR="002202C1" w:rsidRPr="00652242">
        <w:rPr>
          <w:color w:val="auto"/>
        </w:rPr>
        <w:t>.</w:t>
      </w:r>
    </w:p>
    <w:p w:rsidR="002A2549" w:rsidRPr="002A2549" w:rsidRDefault="002A2549" w:rsidP="001B0254">
      <w:pPr>
        <w:jc w:val="both"/>
        <w:rPr>
          <w:rFonts w:cs="Calibri"/>
          <w:color w:val="auto"/>
        </w:rPr>
      </w:pPr>
      <w:r w:rsidRPr="002A2549">
        <w:rPr>
          <w:rFonts w:cs="Calibri"/>
          <w:b/>
          <w:color w:val="auto"/>
        </w:rPr>
        <w:t>Vaccini: coperture.</w:t>
      </w:r>
      <w:r w:rsidRPr="002A2549">
        <w:rPr>
          <w:rFonts w:cs="Calibri"/>
          <w:color w:val="auto"/>
        </w:rPr>
        <w:t xml:space="preserve"> Le coperture con almeno una dose di vaccino sono molto variabili nelle diverse fasce</w:t>
      </w:r>
      <w:r w:rsidR="00906FB7">
        <w:rPr>
          <w:rFonts w:cs="Calibri"/>
          <w:color w:val="auto"/>
        </w:rPr>
        <w:t xml:space="preserve"> d’età (dal 99,3% </w:t>
      </w:r>
      <w:r w:rsidR="006C515D">
        <w:rPr>
          <w:rFonts w:cs="Calibri"/>
          <w:color w:val="auto"/>
        </w:rPr>
        <w:t>degli</w:t>
      </w:r>
      <w:r w:rsidR="00906FB7">
        <w:rPr>
          <w:rFonts w:cs="Calibri"/>
          <w:color w:val="auto"/>
        </w:rPr>
        <w:t xml:space="preserve"> </w:t>
      </w:r>
      <w:r w:rsidR="006C515D">
        <w:rPr>
          <w:rFonts w:cs="Calibri"/>
          <w:color w:val="auto"/>
        </w:rPr>
        <w:t>o</w:t>
      </w:r>
      <w:r w:rsidR="006C515D" w:rsidRPr="002A2549">
        <w:rPr>
          <w:rFonts w:cs="Calibri"/>
          <w:color w:val="auto"/>
        </w:rPr>
        <w:t>ver</w:t>
      </w:r>
      <w:r w:rsidR="006C515D">
        <w:rPr>
          <w:rFonts w:cs="Calibri"/>
          <w:color w:val="auto"/>
        </w:rPr>
        <w:t xml:space="preserve"> </w:t>
      </w:r>
      <w:r w:rsidRPr="002A2549">
        <w:rPr>
          <w:rFonts w:cs="Calibri"/>
          <w:color w:val="auto"/>
        </w:rPr>
        <w:t xml:space="preserve">80 al 36,9% della fascia 5-11), così come sul fronte dei richiami, che negli over 80 hanno raggiunto </w:t>
      </w:r>
      <w:r w:rsidR="006B7129">
        <w:rPr>
          <w:rFonts w:cs="Calibri"/>
          <w:color w:val="auto"/>
        </w:rPr>
        <w:t>l’</w:t>
      </w:r>
      <w:r w:rsidRPr="002A2549">
        <w:rPr>
          <w:rFonts w:cs="Calibri"/>
          <w:color w:val="auto"/>
        </w:rPr>
        <w:t xml:space="preserve">88,3%, nella fascia 70-79 </w:t>
      </w:r>
      <w:r w:rsidR="006C515D">
        <w:rPr>
          <w:rFonts w:cs="Calibri"/>
          <w:color w:val="auto"/>
        </w:rPr>
        <w:t>l’</w:t>
      </w:r>
      <w:r w:rsidRPr="002A2549">
        <w:rPr>
          <w:rFonts w:cs="Calibri"/>
          <w:color w:val="auto"/>
        </w:rPr>
        <w:t xml:space="preserve">87% e in quella 60-69 anni </w:t>
      </w:r>
      <w:r w:rsidR="006B7129">
        <w:rPr>
          <w:rFonts w:cs="Calibri"/>
          <w:color w:val="auto"/>
        </w:rPr>
        <w:t>l’</w:t>
      </w:r>
      <w:r w:rsidRPr="002A2549">
        <w:rPr>
          <w:rFonts w:cs="Calibri"/>
          <w:color w:val="auto"/>
        </w:rPr>
        <w:t>83,4% (</w:t>
      </w:r>
      <w:r w:rsidRPr="002A2549">
        <w:rPr>
          <w:rFonts w:cs="Calibri"/>
          <w:color w:val="auto"/>
          <w:highlight w:val="yellow"/>
        </w:rPr>
        <w:t>figura 12</w:t>
      </w:r>
      <w:r w:rsidRPr="002A2549">
        <w:rPr>
          <w:rFonts w:cs="Calibri"/>
          <w:color w:val="auto"/>
        </w:rPr>
        <w:t>).</w:t>
      </w:r>
    </w:p>
    <w:p w:rsidR="001C167C" w:rsidRPr="002202C1" w:rsidRDefault="00B672EA" w:rsidP="00211923">
      <w:pPr>
        <w:spacing w:line="276" w:lineRule="auto"/>
        <w:jc w:val="both"/>
        <w:rPr>
          <w:color w:val="auto"/>
        </w:rPr>
      </w:pPr>
      <w:r w:rsidRPr="002202C1">
        <w:rPr>
          <w:b/>
          <w:color w:val="auto"/>
        </w:rPr>
        <w:t xml:space="preserve">Vaccini: </w:t>
      </w:r>
      <w:r w:rsidR="003E293F" w:rsidRPr="002202C1">
        <w:rPr>
          <w:b/>
          <w:color w:val="auto"/>
        </w:rPr>
        <w:t>nuovi vaccinati</w:t>
      </w:r>
      <w:r w:rsidRPr="002202C1">
        <w:rPr>
          <w:b/>
          <w:color w:val="auto"/>
        </w:rPr>
        <w:t>.</w:t>
      </w:r>
      <w:r w:rsidRPr="002202C1">
        <w:rPr>
          <w:color w:val="auto"/>
        </w:rPr>
        <w:t xml:space="preserve"> </w:t>
      </w:r>
      <w:r w:rsidR="00554F5B" w:rsidRPr="002202C1">
        <w:rPr>
          <w:color w:val="auto"/>
        </w:rPr>
        <w:t>N</w:t>
      </w:r>
      <w:r w:rsidR="00F75D8A" w:rsidRPr="002202C1">
        <w:rPr>
          <w:color w:val="auto"/>
        </w:rPr>
        <w:t>el</w:t>
      </w:r>
      <w:r w:rsidR="00554F5B" w:rsidRPr="002202C1">
        <w:rPr>
          <w:color w:val="auto"/>
        </w:rPr>
        <w:t>la</w:t>
      </w:r>
      <w:r w:rsidR="00F75D8A" w:rsidRPr="002202C1">
        <w:rPr>
          <w:color w:val="auto"/>
        </w:rPr>
        <w:t xml:space="preserve"> </w:t>
      </w:r>
      <w:r w:rsidR="00554F5B" w:rsidRPr="002202C1">
        <w:rPr>
          <w:color w:val="auto"/>
        </w:rPr>
        <w:t xml:space="preserve">settimana </w:t>
      </w:r>
      <w:r w:rsidR="002A2549" w:rsidRPr="002202C1">
        <w:rPr>
          <w:color w:val="auto"/>
        </w:rPr>
        <w:t>23</w:t>
      </w:r>
      <w:r w:rsidR="001B0254" w:rsidRPr="002202C1">
        <w:rPr>
          <w:color w:val="auto"/>
        </w:rPr>
        <w:t xml:space="preserve"> febbraio</w:t>
      </w:r>
      <w:r w:rsidR="002A2549" w:rsidRPr="002202C1">
        <w:rPr>
          <w:color w:val="auto"/>
        </w:rPr>
        <w:t>-1 marzo</w:t>
      </w:r>
      <w:r w:rsidR="00F75D8A" w:rsidRPr="002202C1">
        <w:rPr>
          <w:color w:val="auto"/>
        </w:rPr>
        <w:t xml:space="preserve"> </w:t>
      </w:r>
      <w:r w:rsidR="00E3038F" w:rsidRPr="002202C1">
        <w:rPr>
          <w:color w:val="auto"/>
        </w:rPr>
        <w:t xml:space="preserve">si </w:t>
      </w:r>
      <w:r w:rsidR="008927DE" w:rsidRPr="002202C1">
        <w:rPr>
          <w:color w:val="auto"/>
        </w:rPr>
        <w:t xml:space="preserve">registra un </w:t>
      </w:r>
      <w:r w:rsidR="00A61C84" w:rsidRPr="002202C1">
        <w:rPr>
          <w:color w:val="auto"/>
        </w:rPr>
        <w:t xml:space="preserve">ulteriore calo </w:t>
      </w:r>
      <w:r w:rsidR="000C22FE" w:rsidRPr="002202C1">
        <w:rPr>
          <w:color w:val="auto"/>
        </w:rPr>
        <w:t xml:space="preserve">dei nuovi vaccinati: </w:t>
      </w:r>
      <w:r w:rsidR="008574A0" w:rsidRPr="002202C1">
        <w:rPr>
          <w:color w:val="auto"/>
        </w:rPr>
        <w:t xml:space="preserve">38.796 rispetto ai </w:t>
      </w:r>
      <w:r w:rsidR="006326CC" w:rsidRPr="002202C1">
        <w:rPr>
          <w:color w:val="auto"/>
        </w:rPr>
        <w:t>59.</w:t>
      </w:r>
      <w:r w:rsidR="008574A0" w:rsidRPr="002202C1">
        <w:rPr>
          <w:color w:val="auto"/>
        </w:rPr>
        <w:t>157</w:t>
      </w:r>
      <w:r w:rsidR="00A61C84" w:rsidRPr="002202C1">
        <w:rPr>
          <w:color w:val="auto"/>
        </w:rPr>
        <w:t xml:space="preserve"> </w:t>
      </w:r>
      <w:r w:rsidR="00CB3BD4" w:rsidRPr="002202C1">
        <w:rPr>
          <w:color w:val="auto"/>
        </w:rPr>
        <w:t>della settimana precedente</w:t>
      </w:r>
      <w:r w:rsidR="009D0C36" w:rsidRPr="002202C1">
        <w:rPr>
          <w:color w:val="auto"/>
        </w:rPr>
        <w:t xml:space="preserve"> (-</w:t>
      </w:r>
      <w:r w:rsidR="008574A0" w:rsidRPr="002202C1">
        <w:rPr>
          <w:color w:val="auto"/>
        </w:rPr>
        <w:t>34,4</w:t>
      </w:r>
      <w:r w:rsidR="009D0C36" w:rsidRPr="002202C1">
        <w:rPr>
          <w:color w:val="auto"/>
        </w:rPr>
        <w:t>%)</w:t>
      </w:r>
      <w:r w:rsidR="00470CE3" w:rsidRPr="002202C1">
        <w:rPr>
          <w:color w:val="auto"/>
        </w:rPr>
        <w:t xml:space="preserve">. </w:t>
      </w:r>
      <w:r w:rsidR="008927DE" w:rsidRPr="002202C1">
        <w:rPr>
          <w:color w:val="auto"/>
        </w:rPr>
        <w:t xml:space="preserve">Di questi </w:t>
      </w:r>
      <w:r w:rsidR="007C7E75" w:rsidRPr="002202C1">
        <w:rPr>
          <w:color w:val="auto"/>
        </w:rPr>
        <w:t xml:space="preserve">il </w:t>
      </w:r>
      <w:r w:rsidR="002202C1" w:rsidRPr="002202C1">
        <w:rPr>
          <w:color w:val="auto"/>
        </w:rPr>
        <w:t>27,2</w:t>
      </w:r>
      <w:r w:rsidR="007C7E75" w:rsidRPr="002202C1">
        <w:rPr>
          <w:color w:val="auto"/>
        </w:rPr>
        <w:t>%</w:t>
      </w:r>
      <w:r w:rsidR="008927DE" w:rsidRPr="002202C1">
        <w:rPr>
          <w:color w:val="auto"/>
        </w:rPr>
        <w:t xml:space="preserve"> è </w:t>
      </w:r>
      <w:r w:rsidR="00CD534A" w:rsidRPr="002202C1">
        <w:rPr>
          <w:color w:val="auto"/>
        </w:rPr>
        <w:t xml:space="preserve">rappresentato </w:t>
      </w:r>
      <w:r w:rsidR="008927DE" w:rsidRPr="002202C1">
        <w:rPr>
          <w:color w:val="auto"/>
        </w:rPr>
        <w:t xml:space="preserve">dalla </w:t>
      </w:r>
      <w:r w:rsidR="00E129D4" w:rsidRPr="002202C1">
        <w:rPr>
          <w:color w:val="auto"/>
        </w:rPr>
        <w:t>fascia 5-11</w:t>
      </w:r>
      <w:r w:rsidR="0068557B" w:rsidRPr="002202C1">
        <w:rPr>
          <w:color w:val="auto"/>
        </w:rPr>
        <w:t xml:space="preserve">: </w:t>
      </w:r>
      <w:r w:rsidR="002202C1" w:rsidRPr="002202C1">
        <w:rPr>
          <w:color w:val="auto"/>
        </w:rPr>
        <w:t>10.569</w:t>
      </w:r>
      <w:r w:rsidR="0068557B" w:rsidRPr="002202C1">
        <w:rPr>
          <w:color w:val="auto"/>
        </w:rPr>
        <w:t xml:space="preserve">, </w:t>
      </w:r>
      <w:r w:rsidR="007C7E75" w:rsidRPr="002202C1">
        <w:rPr>
          <w:color w:val="auto"/>
        </w:rPr>
        <w:t>in netta flessione rispetto alla settimana precedente</w:t>
      </w:r>
      <w:r w:rsidR="00A52BDE" w:rsidRPr="002202C1">
        <w:rPr>
          <w:color w:val="auto"/>
        </w:rPr>
        <w:t xml:space="preserve"> (</w:t>
      </w:r>
      <w:r w:rsidR="00431177" w:rsidRPr="002202C1">
        <w:rPr>
          <w:color w:val="auto"/>
        </w:rPr>
        <w:t>-</w:t>
      </w:r>
      <w:r w:rsidR="002202C1" w:rsidRPr="002202C1">
        <w:rPr>
          <w:color w:val="auto"/>
        </w:rPr>
        <w:t>46,4</w:t>
      </w:r>
      <w:r w:rsidR="00A52BDE" w:rsidRPr="002202C1">
        <w:rPr>
          <w:color w:val="auto"/>
        </w:rPr>
        <w:t>%)</w:t>
      </w:r>
      <w:r w:rsidR="007F4EC6" w:rsidRPr="002202C1">
        <w:rPr>
          <w:color w:val="auto"/>
        </w:rPr>
        <w:t>.</w:t>
      </w:r>
      <w:r w:rsidR="000C22FE" w:rsidRPr="002202C1">
        <w:rPr>
          <w:color w:val="auto"/>
        </w:rPr>
        <w:t xml:space="preserve"> </w:t>
      </w:r>
      <w:r w:rsidR="00880B59" w:rsidRPr="002202C1">
        <w:rPr>
          <w:color w:val="auto"/>
        </w:rPr>
        <w:t>Nonostante l’</w:t>
      </w:r>
      <w:r w:rsidR="00E131AB" w:rsidRPr="002202C1">
        <w:rPr>
          <w:color w:val="auto"/>
        </w:rPr>
        <w:t>obbligo vaccinale e</w:t>
      </w:r>
      <w:r w:rsidR="00EA484E" w:rsidRPr="002202C1">
        <w:rPr>
          <w:color w:val="auto"/>
        </w:rPr>
        <w:t xml:space="preserve"> </w:t>
      </w:r>
      <w:r w:rsidR="00880B59" w:rsidRPr="002202C1">
        <w:rPr>
          <w:color w:val="auto"/>
        </w:rPr>
        <w:t xml:space="preserve">l’obbligo di green pass rafforzato sui luoghi di lavoro, tra </w:t>
      </w:r>
      <w:r w:rsidR="00F3347A" w:rsidRPr="002202C1">
        <w:rPr>
          <w:color w:val="auto"/>
        </w:rPr>
        <w:t xml:space="preserve">gli over 50 </w:t>
      </w:r>
      <w:r w:rsidR="00801454" w:rsidRPr="002202C1">
        <w:rPr>
          <w:color w:val="auto"/>
        </w:rPr>
        <w:t>i</w:t>
      </w:r>
      <w:r w:rsidR="0084641B" w:rsidRPr="002202C1">
        <w:rPr>
          <w:color w:val="auto"/>
        </w:rPr>
        <w:t>l numero di</w:t>
      </w:r>
      <w:r w:rsidR="00801454" w:rsidRPr="002202C1">
        <w:rPr>
          <w:color w:val="auto"/>
        </w:rPr>
        <w:t xml:space="preserve"> nuovi vaccinati </w:t>
      </w:r>
      <w:r w:rsidR="0084641B" w:rsidRPr="002202C1">
        <w:rPr>
          <w:color w:val="auto"/>
        </w:rPr>
        <w:t>scende</w:t>
      </w:r>
      <w:r w:rsidR="00F3347A" w:rsidRPr="002202C1">
        <w:rPr>
          <w:color w:val="auto"/>
        </w:rPr>
        <w:t xml:space="preserve"> ulteriormente, attestandosi a quota </w:t>
      </w:r>
      <w:r w:rsidR="002202C1" w:rsidRPr="002202C1">
        <w:rPr>
          <w:color w:val="auto"/>
        </w:rPr>
        <w:t>10.809</w:t>
      </w:r>
      <w:r w:rsidR="008F04B0" w:rsidRPr="002202C1">
        <w:rPr>
          <w:color w:val="auto"/>
        </w:rPr>
        <w:t xml:space="preserve"> </w:t>
      </w:r>
      <w:r w:rsidR="00211923" w:rsidRPr="002202C1">
        <w:rPr>
          <w:color w:val="auto"/>
        </w:rPr>
        <w:t>(-</w:t>
      </w:r>
      <w:r w:rsidR="002202C1" w:rsidRPr="002202C1">
        <w:rPr>
          <w:color w:val="auto"/>
        </w:rPr>
        <w:t>29,5</w:t>
      </w:r>
      <w:r w:rsidR="00431177" w:rsidRPr="002202C1">
        <w:rPr>
          <w:color w:val="auto"/>
        </w:rPr>
        <w:t>% ris</w:t>
      </w:r>
      <w:r w:rsidR="007F4EC6" w:rsidRPr="002202C1">
        <w:rPr>
          <w:color w:val="auto"/>
        </w:rPr>
        <w:t>petto alla settimana precedente</w:t>
      </w:r>
      <w:r w:rsidR="00F20059" w:rsidRPr="002202C1">
        <w:rPr>
          <w:color w:val="auto"/>
        </w:rPr>
        <w:t>)</w:t>
      </w:r>
      <w:r w:rsidR="00431177" w:rsidRPr="002202C1">
        <w:rPr>
          <w:color w:val="auto"/>
        </w:rPr>
        <w:t xml:space="preserve"> </w:t>
      </w:r>
      <w:r w:rsidR="008F04B0" w:rsidRPr="002202C1">
        <w:rPr>
          <w:color w:val="auto"/>
        </w:rPr>
        <w:t>(</w:t>
      </w:r>
      <w:r w:rsidR="003D430C" w:rsidRPr="002202C1">
        <w:rPr>
          <w:color w:val="auto"/>
          <w:highlight w:val="yellow"/>
        </w:rPr>
        <w:t>figur</w:t>
      </w:r>
      <w:r w:rsidR="003D430C">
        <w:rPr>
          <w:color w:val="auto"/>
          <w:highlight w:val="yellow"/>
        </w:rPr>
        <w:t>e 13</w:t>
      </w:r>
      <w:r w:rsidR="00D022C4">
        <w:rPr>
          <w:color w:val="auto"/>
          <w:highlight w:val="yellow"/>
        </w:rPr>
        <w:t xml:space="preserve"> e</w:t>
      </w:r>
      <w:r w:rsidR="00D022C4" w:rsidRPr="002202C1">
        <w:rPr>
          <w:color w:val="auto"/>
          <w:highlight w:val="yellow"/>
        </w:rPr>
        <w:t xml:space="preserve"> </w:t>
      </w:r>
      <w:r w:rsidR="008F04B0" w:rsidRPr="002202C1">
        <w:rPr>
          <w:color w:val="auto"/>
          <w:highlight w:val="yellow"/>
        </w:rPr>
        <w:t>1</w:t>
      </w:r>
      <w:r w:rsidR="00061647" w:rsidRPr="002202C1">
        <w:rPr>
          <w:color w:val="auto"/>
          <w:highlight w:val="yellow"/>
        </w:rPr>
        <w:t>4</w:t>
      </w:r>
      <w:r w:rsidR="008F04B0" w:rsidRPr="002202C1">
        <w:rPr>
          <w:color w:val="auto"/>
        </w:rPr>
        <w:t>)</w:t>
      </w:r>
      <w:r w:rsidR="001C167C" w:rsidRPr="002202C1">
        <w:rPr>
          <w:color w:val="auto"/>
        </w:rPr>
        <w:t>.</w:t>
      </w:r>
      <w:r w:rsidR="009A505C" w:rsidRPr="002202C1">
        <w:rPr>
          <w:color w:val="auto"/>
        </w:rPr>
        <w:t xml:space="preserve"> </w:t>
      </w:r>
    </w:p>
    <w:p w:rsidR="006C515D" w:rsidRPr="00CE4B95" w:rsidRDefault="006C515D" w:rsidP="00CE4B95">
      <w:pPr>
        <w:jc w:val="both"/>
        <w:rPr>
          <w:rFonts w:eastAsia="Calibri" w:cs="Calibri"/>
          <w:iCs/>
          <w:noProof/>
          <w:color w:val="FF0000"/>
          <w:u w:color="0563C1"/>
        </w:rPr>
      </w:pPr>
      <w:r w:rsidRPr="002202C1">
        <w:rPr>
          <w:b/>
        </w:rPr>
        <w:t>Vaccini: persone non vaccinate</w:t>
      </w:r>
      <w:r w:rsidRPr="002202C1">
        <w:t xml:space="preserve">. Al </w:t>
      </w:r>
      <w:r>
        <w:t xml:space="preserve">2 </w:t>
      </w:r>
      <w:r w:rsidRPr="002202C1">
        <w:t>marzo sono 7,03 milioni le persone che non hanno ricevuto nemmeno una dose di vaccino, di cui 2,27 milioni guarite da COVID-19 da meno di 180 giorni e pertanto temporaneamente protette (</w:t>
      </w:r>
      <w:r w:rsidRPr="002202C1">
        <w:rPr>
          <w:highlight w:val="yellow"/>
        </w:rPr>
        <w:t xml:space="preserve">figura </w:t>
      </w:r>
      <w:r w:rsidR="00D022C4" w:rsidRPr="002202C1">
        <w:rPr>
          <w:highlight w:val="yellow"/>
        </w:rPr>
        <w:t>1</w:t>
      </w:r>
      <w:r w:rsidR="00D022C4">
        <w:rPr>
          <w:highlight w:val="yellow"/>
        </w:rPr>
        <w:t>5</w:t>
      </w:r>
      <w:r w:rsidR="006B7129" w:rsidRPr="002202C1">
        <w:t>)</w:t>
      </w:r>
      <w:r w:rsidR="006B7129">
        <w:t>: l</w:t>
      </w:r>
      <w:r w:rsidRPr="002202C1">
        <w:t>e persone attualmente vaccinabili sono</w:t>
      </w:r>
      <w:r>
        <w:t xml:space="preserve"> dunque</w:t>
      </w:r>
      <w:r w:rsidRPr="002202C1">
        <w:t xml:space="preserve"> circa 4,8 milioni, un dato che non tiene conto delle esenzioni di cui non si conosce il numero esatto.</w:t>
      </w:r>
      <w:r>
        <w:t xml:space="preserve"> </w:t>
      </w:r>
      <w:r>
        <w:rPr>
          <w:color w:val="auto"/>
        </w:rPr>
        <w:t>A dispetto di</w:t>
      </w:r>
      <w:r w:rsidRPr="006C515D">
        <w:rPr>
          <w:color w:val="auto"/>
        </w:rPr>
        <w:t xml:space="preserve"> numeri ancora </w:t>
      </w:r>
      <w:r>
        <w:rPr>
          <w:color w:val="auto"/>
        </w:rPr>
        <w:t xml:space="preserve">molto </w:t>
      </w:r>
      <w:r w:rsidRPr="006C515D">
        <w:rPr>
          <w:color w:val="auto"/>
        </w:rPr>
        <w:t xml:space="preserve">elevati, rispetto agli altri Paesi europei l’Italia si colloca fra le nazioni con la più bassa percentuale di popolazione non vaccinata (16,1%). </w:t>
      </w:r>
      <w:r>
        <w:rPr>
          <w:color w:val="auto"/>
        </w:rPr>
        <w:t xml:space="preserve">Su questo fronte si registrano differenze </w:t>
      </w:r>
      <w:r w:rsidRPr="006C515D">
        <w:rPr>
          <w:color w:val="auto"/>
        </w:rPr>
        <w:t>molto rilevanti</w:t>
      </w:r>
      <w:r w:rsidRPr="006C515D" w:rsidDel="006C515D">
        <w:rPr>
          <w:color w:val="auto"/>
        </w:rPr>
        <w:t xml:space="preserve"> </w:t>
      </w:r>
      <w:r w:rsidRPr="006C515D">
        <w:rPr>
          <w:color w:val="auto"/>
        </w:rPr>
        <w:t xml:space="preserve">fra i diversi Stati: si passa dal 5% del Portogallo al 63,8% dell’Ucraina. </w:t>
      </w:r>
      <w:r w:rsidRPr="0093429F">
        <w:rPr>
          <w:color w:val="auto"/>
        </w:rPr>
        <w:t>«</w:t>
      </w:r>
      <w:r>
        <w:rPr>
          <w:color w:val="auto"/>
        </w:rPr>
        <w:t>Il dato ucraino</w:t>
      </w:r>
      <w:r w:rsidR="006B7129">
        <w:rPr>
          <w:color w:val="auto"/>
        </w:rPr>
        <w:t xml:space="preserve"> </w:t>
      </w:r>
      <w:r w:rsidRPr="006C515D">
        <w:rPr>
          <w:color w:val="auto"/>
        </w:rPr>
        <w:t>– commenta Cartabellotta –</w:t>
      </w:r>
      <w:r>
        <w:rPr>
          <w:color w:val="auto"/>
        </w:rPr>
        <w:t xml:space="preserve"> non deve essere sottovalutato, considerata la drammatica situazione che poterà nelle </w:t>
      </w:r>
      <w:r>
        <w:rPr>
          <w:color w:val="auto"/>
        </w:rPr>
        <w:lastRenderedPageBreak/>
        <w:t>prossime settimane migliaia di profughi nel nostro Paese</w:t>
      </w:r>
      <w:r w:rsidR="006B7129">
        <w:rPr>
          <w:color w:val="auto"/>
        </w:rPr>
        <w:t>:</w:t>
      </w:r>
      <w:r w:rsidR="000354CC">
        <w:rPr>
          <w:color w:val="auto"/>
        </w:rPr>
        <w:t xml:space="preserve"> </w:t>
      </w:r>
      <w:r w:rsidR="006B7129" w:rsidRPr="00D51D9F">
        <w:rPr>
          <w:color w:val="auto"/>
        </w:rPr>
        <w:t xml:space="preserve">i </w:t>
      </w:r>
      <w:r w:rsidR="006B7129">
        <w:rPr>
          <w:color w:val="auto"/>
        </w:rPr>
        <w:t xml:space="preserve">piani di accoglienza del Governo per accogliere i civili in fuga dovranno </w:t>
      </w:r>
      <w:r w:rsidR="000354CC">
        <w:rPr>
          <w:color w:val="auto"/>
        </w:rPr>
        <w:t xml:space="preserve">necessariamente </w:t>
      </w:r>
      <w:r w:rsidR="006B7129">
        <w:rPr>
          <w:color w:val="auto"/>
        </w:rPr>
        <w:t xml:space="preserve">includere la </w:t>
      </w:r>
      <w:r w:rsidR="00B7322A">
        <w:rPr>
          <w:color w:val="auto"/>
        </w:rPr>
        <w:t xml:space="preserve">vaccinazione </w:t>
      </w:r>
      <w:r w:rsidR="006B7129">
        <w:rPr>
          <w:color w:val="auto"/>
        </w:rPr>
        <w:t xml:space="preserve">di </w:t>
      </w:r>
      <w:r w:rsidRPr="006C515D">
        <w:rPr>
          <w:color w:val="auto"/>
        </w:rPr>
        <w:t xml:space="preserve">anziani e fragili </w:t>
      </w:r>
      <w:r w:rsidR="00D022C4">
        <w:rPr>
          <w:color w:val="auto"/>
        </w:rPr>
        <w:t>provenienti</w:t>
      </w:r>
      <w:r w:rsidR="006B7129">
        <w:rPr>
          <w:color w:val="auto"/>
        </w:rPr>
        <w:t xml:space="preserve"> dalle zone di guerra</w:t>
      </w:r>
      <w:r w:rsidR="00ED17DB">
        <w:rPr>
          <w:color w:val="auto"/>
        </w:rPr>
        <w:t xml:space="preserve">, evitando diseguaglianze tra le Regioni. </w:t>
      </w:r>
      <w:r w:rsidR="00A57B1C">
        <w:rPr>
          <w:color w:val="auto"/>
        </w:rPr>
        <w:t>A tal proposito</w:t>
      </w:r>
      <w:r w:rsidR="00ED17DB">
        <w:rPr>
          <w:color w:val="auto"/>
        </w:rPr>
        <w:t xml:space="preserve">, occorrerà eventualmente rivalutare l’entità delle donazioni di vaccini a mRNA a </w:t>
      </w:r>
      <w:r w:rsidR="00CE4B95">
        <w:rPr>
          <w:color w:val="auto"/>
        </w:rPr>
        <w:t>Paesi in difficoltà, considerata</w:t>
      </w:r>
      <w:r w:rsidR="00ED17DB">
        <w:rPr>
          <w:color w:val="auto"/>
        </w:rPr>
        <w:t xml:space="preserve"> la necessità di </w:t>
      </w:r>
      <w:r w:rsidR="00CE4B95">
        <w:rPr>
          <w:color w:val="auto"/>
        </w:rPr>
        <w:t>estendere</w:t>
      </w:r>
      <w:r w:rsidR="00ED17DB">
        <w:rPr>
          <w:color w:val="auto"/>
        </w:rPr>
        <w:t xml:space="preserve"> la campagna vaccinale ai profughi di guerra</w:t>
      </w:r>
      <w:r w:rsidRPr="0093429F">
        <w:rPr>
          <w:color w:val="auto"/>
        </w:rPr>
        <w:t>»</w:t>
      </w:r>
      <w:r w:rsidRPr="006C515D">
        <w:rPr>
          <w:color w:val="auto"/>
        </w:rPr>
        <w:t>.</w:t>
      </w:r>
    </w:p>
    <w:p w:rsidR="00B667E8" w:rsidRPr="002B66F4" w:rsidRDefault="002B66F4" w:rsidP="002B66F4">
      <w:pPr>
        <w:spacing w:line="276" w:lineRule="auto"/>
        <w:jc w:val="center"/>
        <w:rPr>
          <w:rFonts w:eastAsia="Calibri" w:cs="Calibri"/>
          <w:iCs/>
          <w:noProof/>
          <w:color w:val="FF0000"/>
          <w:u w:color="0563C1"/>
        </w:rPr>
      </w:pPr>
      <w:r>
        <w:rPr>
          <w:rStyle w:val="Hyperlink1"/>
          <w:noProof/>
        </w:rPr>
        <w:drawing>
          <wp:inline distT="0" distB="0" distL="0" distR="0" wp14:anchorId="04E739CB" wp14:editId="35A0D86B">
            <wp:extent cx="5760000" cy="642971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6429718"/>
                    </a:xfrm>
                    <a:prstGeom prst="rect">
                      <a:avLst/>
                    </a:prstGeom>
                    <a:noFill/>
                  </pic:spPr>
                </pic:pic>
              </a:graphicData>
            </a:graphic>
          </wp:inline>
        </w:drawing>
      </w:r>
    </w:p>
    <w:p w:rsidR="002202C1" w:rsidRPr="002202C1" w:rsidRDefault="002202C1"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2202C1">
        <w:rPr>
          <w:b/>
          <w:color w:val="auto"/>
        </w:rPr>
        <w:t>Vaccini: fascia 5-11 anni.</w:t>
      </w:r>
      <w:r w:rsidRPr="002202C1">
        <w:rPr>
          <w:color w:val="auto"/>
        </w:rPr>
        <w:t xml:space="preserve"> Al 2 marzo (aggiornamento ore 06.18) nella fascia 5-11 anni sono state somministrate 2.324.690 dosi: 1.356.784 hanno ricevuto almeno 1 dose di vaccino (di cui 1.138.999 hanno completato il ciclo vaccinale), con un tasso di copertura nazionale che si attesta al 36,9% con nette differenze regionali (dal 20,0% della Prov</w:t>
      </w:r>
      <w:r w:rsidR="00F44541">
        <w:rPr>
          <w:color w:val="auto"/>
        </w:rPr>
        <w:t>incia</w:t>
      </w:r>
      <w:r w:rsidRPr="002202C1">
        <w:rPr>
          <w:color w:val="auto"/>
        </w:rPr>
        <w:t xml:space="preserve"> Aut</w:t>
      </w:r>
      <w:r w:rsidR="00F44541">
        <w:rPr>
          <w:color w:val="auto"/>
        </w:rPr>
        <w:t>onoma di</w:t>
      </w:r>
      <w:r w:rsidRPr="002202C1">
        <w:rPr>
          <w:color w:val="auto"/>
        </w:rPr>
        <w:t xml:space="preserve"> Bolzano al 53,4% della Puglia) (</w:t>
      </w:r>
      <w:r w:rsidRPr="002202C1">
        <w:rPr>
          <w:color w:val="auto"/>
          <w:highlight w:val="yellow"/>
        </w:rPr>
        <w:t xml:space="preserve">figura </w:t>
      </w:r>
      <w:r w:rsidR="00B12111" w:rsidRPr="002202C1">
        <w:rPr>
          <w:color w:val="auto"/>
          <w:highlight w:val="yellow"/>
        </w:rPr>
        <w:t>1</w:t>
      </w:r>
      <w:r w:rsidR="00B12111">
        <w:rPr>
          <w:color w:val="auto"/>
          <w:highlight w:val="yellow"/>
        </w:rPr>
        <w:t>6</w:t>
      </w:r>
      <w:r w:rsidRPr="002202C1">
        <w:rPr>
          <w:color w:val="auto"/>
        </w:rPr>
        <w:t>).</w:t>
      </w:r>
    </w:p>
    <w:p w:rsidR="0012436D" w:rsidRDefault="002202C1"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2202C1">
        <w:rPr>
          <w:b/>
          <w:color w:val="auto"/>
        </w:rPr>
        <w:t>Vaccini: terza dose.</w:t>
      </w:r>
      <w:r w:rsidRPr="002202C1">
        <w:rPr>
          <w:color w:val="auto"/>
        </w:rPr>
        <w:t xml:space="preserve"> Al 2 marzo (aggiornamento ore 06.18) sono state somministrate 37.589.850 terze dosi con una media mobile a 7 giorni di 71.991 somministrazioni al giorno (</w:t>
      </w:r>
      <w:r w:rsidRPr="002202C1">
        <w:rPr>
          <w:color w:val="auto"/>
          <w:highlight w:val="yellow"/>
        </w:rPr>
        <w:t xml:space="preserve">figura </w:t>
      </w:r>
      <w:r w:rsidR="00B12111">
        <w:rPr>
          <w:color w:val="auto"/>
          <w:highlight w:val="yellow"/>
        </w:rPr>
        <w:t>17</w:t>
      </w:r>
      <w:r w:rsidRPr="002202C1">
        <w:rPr>
          <w:color w:val="auto"/>
        </w:rPr>
        <w:t xml:space="preserve">). In base alla </w:t>
      </w:r>
      <w:hyperlink r:id="rId9" w:history="1">
        <w:r w:rsidRPr="002202C1">
          <w:rPr>
            <w:rStyle w:val="Collegamentoipertestuale"/>
            <w:color w:val="auto"/>
          </w:rPr>
          <w:t>platea ufficiale</w:t>
        </w:r>
      </w:hyperlink>
      <w:r w:rsidRPr="002202C1">
        <w:rPr>
          <w:color w:val="auto"/>
        </w:rPr>
        <w:t xml:space="preserve"> (n. 44.829.011), aggiornata al 25 febbraio, il tasso di copertura nazionale per le terze dosi è </w:t>
      </w:r>
      <w:r w:rsidR="00F44541" w:rsidRPr="002202C1">
        <w:rPr>
          <w:color w:val="auto"/>
        </w:rPr>
        <w:t>de</w:t>
      </w:r>
      <w:r w:rsidR="00F44541">
        <w:rPr>
          <w:color w:val="auto"/>
        </w:rPr>
        <w:t>ll’</w:t>
      </w:r>
      <w:r w:rsidRPr="002202C1">
        <w:rPr>
          <w:color w:val="auto"/>
        </w:rPr>
        <w:t xml:space="preserve">83,9% con nette differenze regionali: dal 78,4% della Sicilia </w:t>
      </w:r>
      <w:r w:rsidR="00E9315C" w:rsidRPr="002202C1">
        <w:rPr>
          <w:color w:val="auto"/>
        </w:rPr>
        <w:t>al</w:t>
      </w:r>
      <w:r w:rsidR="00E9315C">
        <w:rPr>
          <w:color w:val="auto"/>
        </w:rPr>
        <w:t>l’</w:t>
      </w:r>
      <w:r w:rsidRPr="002202C1">
        <w:rPr>
          <w:color w:val="auto"/>
        </w:rPr>
        <w:t>88,3% della Valle D'Aosta (</w:t>
      </w:r>
      <w:r w:rsidRPr="002202C1">
        <w:rPr>
          <w:color w:val="auto"/>
          <w:highlight w:val="yellow"/>
        </w:rPr>
        <w:t xml:space="preserve">figura </w:t>
      </w:r>
      <w:r w:rsidR="00B12111">
        <w:rPr>
          <w:color w:val="auto"/>
          <w:highlight w:val="yellow"/>
        </w:rPr>
        <w:t>18</w:t>
      </w:r>
      <w:r w:rsidRPr="002202C1">
        <w:rPr>
          <w:color w:val="auto"/>
        </w:rPr>
        <w:t>).</w:t>
      </w:r>
      <w:r>
        <w:rPr>
          <w:color w:val="auto"/>
        </w:rPr>
        <w:t xml:space="preserve"> </w:t>
      </w:r>
      <w:r w:rsidR="00651045">
        <w:rPr>
          <w:color w:val="auto"/>
        </w:rPr>
        <w:t xml:space="preserve">Delle </w:t>
      </w:r>
      <w:r w:rsidRPr="002202C1">
        <w:rPr>
          <w:color w:val="auto"/>
        </w:rPr>
        <w:t>7.239.161</w:t>
      </w:r>
      <w:r>
        <w:rPr>
          <w:color w:val="auto"/>
        </w:rPr>
        <w:t xml:space="preserve"> </w:t>
      </w:r>
      <w:r>
        <w:rPr>
          <w:color w:val="auto"/>
        </w:rPr>
        <w:lastRenderedPageBreak/>
        <w:t>persone che ancora non hanno ricevuto la terza dose</w:t>
      </w:r>
      <w:r w:rsidR="00B24DAE">
        <w:rPr>
          <w:color w:val="auto"/>
        </w:rPr>
        <w:t>,</w:t>
      </w:r>
      <w:r>
        <w:rPr>
          <w:color w:val="auto"/>
        </w:rPr>
        <w:t xml:space="preserve"> </w:t>
      </w:r>
      <w:r w:rsidR="001B4670">
        <w:rPr>
          <w:color w:val="auto"/>
        </w:rPr>
        <w:t xml:space="preserve">più di 2,8 milioni </w:t>
      </w:r>
      <w:r w:rsidR="00962F4F">
        <w:rPr>
          <w:color w:val="auto"/>
        </w:rPr>
        <w:t xml:space="preserve">possono </w:t>
      </w:r>
      <w:r w:rsidR="00B24DAE">
        <w:rPr>
          <w:color w:val="auto"/>
        </w:rPr>
        <w:t>riceverla subito, mentre</w:t>
      </w:r>
      <w:r w:rsidR="00B24DAE" w:rsidDel="00B24DAE">
        <w:rPr>
          <w:color w:val="auto"/>
        </w:rPr>
        <w:t xml:space="preserve"> </w:t>
      </w:r>
      <w:r w:rsidR="001B4670">
        <w:rPr>
          <w:color w:val="auto"/>
        </w:rPr>
        <w:t>oltre</w:t>
      </w:r>
      <w:r w:rsidR="00651045">
        <w:rPr>
          <w:color w:val="auto"/>
        </w:rPr>
        <w:t xml:space="preserve"> </w:t>
      </w:r>
      <w:r>
        <w:rPr>
          <w:color w:val="auto"/>
        </w:rPr>
        <w:t>4</w:t>
      </w:r>
      <w:r w:rsidR="00651045">
        <w:rPr>
          <w:color w:val="auto"/>
        </w:rPr>
        <w:t>,</w:t>
      </w:r>
      <w:r w:rsidR="001B4670">
        <w:rPr>
          <w:color w:val="auto"/>
        </w:rPr>
        <w:t xml:space="preserve">4 milioni </w:t>
      </w:r>
      <w:r w:rsidR="00A65245">
        <w:rPr>
          <w:color w:val="auto"/>
        </w:rPr>
        <w:t xml:space="preserve">guarite </w:t>
      </w:r>
      <w:r>
        <w:rPr>
          <w:color w:val="auto"/>
        </w:rPr>
        <w:t xml:space="preserve">da </w:t>
      </w:r>
      <w:r w:rsidR="00B24DAE">
        <w:rPr>
          <w:color w:val="auto"/>
        </w:rPr>
        <w:t>meno di</w:t>
      </w:r>
      <w:r w:rsidR="007631BC" w:rsidRPr="007631BC">
        <w:rPr>
          <w:color w:val="auto"/>
        </w:rPr>
        <w:t xml:space="preserve"> 4 mesi</w:t>
      </w:r>
      <w:r w:rsidR="001B4670">
        <w:rPr>
          <w:color w:val="auto"/>
        </w:rPr>
        <w:t xml:space="preserve"> non sono candidat</w:t>
      </w:r>
      <w:r w:rsidR="00A65245">
        <w:rPr>
          <w:color w:val="auto"/>
        </w:rPr>
        <w:t>e</w:t>
      </w:r>
      <w:r w:rsidR="001B4670">
        <w:rPr>
          <w:color w:val="auto"/>
        </w:rPr>
        <w:t xml:space="preserve"> a riceverla nell’immediato</w:t>
      </w:r>
      <w:r w:rsidR="00B24DAE">
        <w:rPr>
          <w:color w:val="auto"/>
        </w:rPr>
        <w:t>.</w:t>
      </w:r>
    </w:p>
    <w:p w:rsidR="002B4F83" w:rsidRPr="00571B0C" w:rsidRDefault="002B4F83" w:rsidP="006326CC">
      <w:pPr>
        <w:spacing w:line="276" w:lineRule="auto"/>
        <w:jc w:val="both"/>
        <w:rPr>
          <w:color w:val="auto"/>
        </w:rPr>
      </w:pPr>
      <w:r w:rsidRPr="002B4F83">
        <w:rPr>
          <w:b/>
          <w:color w:val="auto"/>
        </w:rPr>
        <w:t xml:space="preserve">Vaccini: quarta dose. </w:t>
      </w:r>
      <w:r w:rsidR="00571B0C" w:rsidRPr="00571B0C">
        <w:rPr>
          <w:color w:val="auto"/>
        </w:rPr>
        <w:t>Al 2 marzo (aggiornamento ore 06.18) sono state somministrate 2.414 quarte dosi</w:t>
      </w:r>
      <w:r w:rsidR="00CE4B95">
        <w:rPr>
          <w:color w:val="auto"/>
        </w:rPr>
        <w:t xml:space="preserve"> </w:t>
      </w:r>
      <w:r w:rsidR="00CE4B95" w:rsidRPr="00CE4B95">
        <w:rPr>
          <w:color w:val="auto"/>
        </w:rPr>
        <w:t>alle persone immunocompromesse come da indicazioni della Circo</w:t>
      </w:r>
      <w:r w:rsidR="00CE4B95">
        <w:rPr>
          <w:color w:val="auto"/>
        </w:rPr>
        <w:t>lare del Ministero della Salute</w:t>
      </w:r>
      <w:r w:rsidR="00571B0C" w:rsidRPr="00571B0C">
        <w:rPr>
          <w:color w:val="auto"/>
        </w:rPr>
        <w:t xml:space="preserve">. In base alla </w:t>
      </w:r>
      <w:hyperlink r:id="rId10" w:history="1">
        <w:r w:rsidR="00571B0C" w:rsidRPr="00571B0C">
          <w:rPr>
            <w:rStyle w:val="Collegamentoipertestuale"/>
          </w:rPr>
          <w:t>platea ufficiale</w:t>
        </w:r>
      </w:hyperlink>
      <w:r w:rsidR="00571B0C" w:rsidRPr="00571B0C">
        <w:rPr>
          <w:color w:val="auto"/>
        </w:rPr>
        <w:t xml:space="preserve"> (n. 804.603), aggiornata al 1° marzo, il tasso di copertura nazionale per le </w:t>
      </w:r>
      <w:r w:rsidR="00F44541">
        <w:rPr>
          <w:color w:val="auto"/>
        </w:rPr>
        <w:t>quarte</w:t>
      </w:r>
      <w:r w:rsidR="00F44541" w:rsidRPr="00571B0C">
        <w:rPr>
          <w:color w:val="auto"/>
        </w:rPr>
        <w:t xml:space="preserve"> </w:t>
      </w:r>
      <w:r w:rsidR="00571B0C" w:rsidRPr="00571B0C">
        <w:rPr>
          <w:color w:val="auto"/>
        </w:rPr>
        <w:t xml:space="preserve">dosi è </w:t>
      </w:r>
      <w:r w:rsidR="00A65245" w:rsidRPr="00571B0C">
        <w:rPr>
          <w:color w:val="auto"/>
        </w:rPr>
        <w:t>del</w:t>
      </w:r>
      <w:r w:rsidR="00A65245">
        <w:rPr>
          <w:color w:val="auto"/>
        </w:rPr>
        <w:t xml:space="preserve">lo </w:t>
      </w:r>
      <w:r w:rsidR="00571B0C" w:rsidRPr="00571B0C">
        <w:rPr>
          <w:color w:val="auto"/>
        </w:rPr>
        <w:t>0</w:t>
      </w:r>
      <w:r w:rsidR="00571B0C">
        <w:rPr>
          <w:color w:val="auto"/>
        </w:rPr>
        <w:t>,3</w:t>
      </w:r>
      <w:r w:rsidR="00571B0C" w:rsidRPr="00571B0C">
        <w:rPr>
          <w:color w:val="auto"/>
        </w:rPr>
        <w:t>%.</w:t>
      </w:r>
    </w:p>
    <w:p w:rsidR="00FD4012" w:rsidRDefault="00FD4012" w:rsidP="00FD4012">
      <w:pPr>
        <w:shd w:val="clear" w:color="auto" w:fill="FFFFFF"/>
        <w:spacing w:after="0" w:line="276" w:lineRule="auto"/>
        <w:jc w:val="both"/>
        <w:rPr>
          <w:rFonts w:cs="Calibri"/>
          <w:color w:val="auto"/>
          <w:bdr w:val="none" w:sz="0" w:space="0" w:color="auto" w:frame="1"/>
        </w:rPr>
      </w:pPr>
      <w:r>
        <w:rPr>
          <w:b/>
          <w:bCs/>
          <w:color w:val="auto"/>
        </w:rPr>
        <w:t>Vaccini: efficacia.</w:t>
      </w:r>
      <w:r>
        <w:rPr>
          <w:color w:val="auto"/>
        </w:rPr>
        <w:t xml:space="preserve"> </w:t>
      </w:r>
      <w:r>
        <w:rPr>
          <w:color w:val="auto"/>
          <w:bdr w:val="none" w:sz="0" w:space="0" w:color="auto" w:frame="1"/>
        </w:rPr>
        <w:t xml:space="preserve">I </w:t>
      </w:r>
      <w:hyperlink r:id="rId11" w:history="1">
        <w:r>
          <w:rPr>
            <w:rStyle w:val="Collegamentoipertestuale"/>
          </w:rPr>
          <w:t>dati dell’Istituto Superiore di Sanità</w:t>
        </w:r>
      </w:hyperlink>
      <w:r>
        <w:rPr>
          <w:color w:val="auto"/>
          <w:bdr w:val="none" w:sz="0" w:space="0" w:color="auto" w:frame="1"/>
        </w:rPr>
        <w:t> dimostrano la riduzione dell’efficacia vaccinale a partire da 3 mesi dal completamento del ciclo primario e la sua risalita dopo la somministrazione del richiamo. In particolare:</w:t>
      </w:r>
    </w:p>
    <w:p w:rsidR="00FD4012" w:rsidRDefault="00FD4012" w:rsidP="00FD401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contextualSpacing/>
        <w:jc w:val="both"/>
        <w:rPr>
          <w:rFonts w:eastAsia="Times New Roman"/>
          <w:color w:val="auto"/>
          <w:bdr w:val="none" w:sz="0" w:space="0" w:color="auto" w:frame="1"/>
        </w:rPr>
      </w:pPr>
      <w:r>
        <w:rPr>
          <w:rFonts w:eastAsia="Times New Roman"/>
          <w:color w:val="auto"/>
          <w:bdr w:val="none" w:sz="0" w:space="0" w:color="auto" w:frame="1"/>
        </w:rPr>
        <w:t>l’efficacia sulla diagnosi scende progressivamente dal 63,2% per i vaccinati con due dosi entro 90 giorni al 43,3% per i vaccinati da più di 120 giorni, per poi risalire al 63,4% dopo il richiamo;</w:t>
      </w:r>
    </w:p>
    <w:p w:rsidR="00FD4012" w:rsidRDefault="00FD4012" w:rsidP="00E558D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left="357" w:hanging="357"/>
        <w:jc w:val="both"/>
        <w:rPr>
          <w:rFonts w:eastAsia="Times New Roman"/>
          <w:color w:val="auto"/>
          <w:bdr w:val="none" w:sz="0" w:space="0" w:color="auto"/>
        </w:rPr>
      </w:pPr>
      <w:r>
        <w:rPr>
          <w:rFonts w:eastAsia="Times New Roman"/>
          <w:color w:val="auto"/>
          <w:bdr w:val="none" w:sz="0" w:space="0" w:color="auto" w:frame="1"/>
        </w:rPr>
        <w:t>l’efficacia sulla malattia severa scende progressivamente dall’85,8% per i vaccinati con due dosi entro 90 giorni all’82,5% per i vaccinati da più di 120 giorni, per poi risalire al 92,8% dopo il richiamo.</w:t>
      </w:r>
    </w:p>
    <w:p w:rsidR="00A57B1C" w:rsidRDefault="002A2549" w:rsidP="00A57B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2A2549">
        <w:rPr>
          <w:color w:val="auto"/>
        </w:rPr>
        <w:t>Complessivamente nelle persone vaccinate con ciclo completo (più eventuale dose di richiamo), rispetto a quelle non vaccinate, nelle varie fasce d’età si riduce l’incidenza di diagnosi (del 57,2-76,4%), ma soprattutto di malattia grave (del 73,-88,2% per ricoveri ordinari; del 81,4-92,3% per le terapie intensive) e decesso (del 79,7-91%) (</w:t>
      </w:r>
      <w:r w:rsidRPr="002A2549">
        <w:rPr>
          <w:color w:val="auto"/>
          <w:highlight w:val="yellow"/>
        </w:rPr>
        <w:t xml:space="preserve">figura </w:t>
      </w:r>
      <w:r w:rsidR="00B12111">
        <w:rPr>
          <w:color w:val="auto"/>
          <w:highlight w:val="yellow"/>
        </w:rPr>
        <w:t>19</w:t>
      </w:r>
      <w:r w:rsidRPr="002A2549">
        <w:rPr>
          <w:color w:val="auto"/>
        </w:rPr>
        <w:t>).</w:t>
      </w:r>
    </w:p>
    <w:p w:rsidR="00CE4B95" w:rsidRPr="00A57B1C" w:rsidRDefault="00CE4B95" w:rsidP="00A57B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2" w:history="1">
        <w:r w:rsidR="00CE577D" w:rsidRPr="00234B97">
          <w:rPr>
            <w:rStyle w:val="Hyperlink0"/>
          </w:rPr>
          <w:t>https://coronavirus.gimbe.org</w:t>
        </w:r>
      </w:hyperlink>
    </w:p>
    <w:p w:rsidR="00B74EC4" w:rsidRDefault="00B74EC4" w:rsidP="00BD67DE">
      <w:pPr>
        <w:spacing w:after="120" w:line="276" w:lineRule="auto"/>
        <w:rPr>
          <w:rStyle w:val="Hyperlink0"/>
        </w:rPr>
      </w:pPr>
    </w:p>
    <w:p w:rsidR="006642F5" w:rsidRDefault="00CE577D" w:rsidP="008F4EDC">
      <w:pPr>
        <w:spacing w:after="120"/>
        <w:rPr>
          <w:rStyle w:val="Hyperlink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3" w:history="1">
        <w:r w:rsidRPr="00234B97">
          <w:rPr>
            <w:rStyle w:val="Hyperlink1"/>
          </w:rPr>
          <w:t>ufficio.stampa@gimbe.org</w:t>
        </w:r>
      </w:hyperlink>
    </w:p>
    <w:p w:rsidR="00C5474A" w:rsidRDefault="00C5474A" w:rsidP="008F4EDC">
      <w:pPr>
        <w:spacing w:after="120"/>
        <w:rPr>
          <w:rStyle w:val="Hyperlink1"/>
        </w:rPr>
      </w:pPr>
    </w:p>
    <w:p w:rsidR="00C5474A" w:rsidRDefault="00C5474A" w:rsidP="008F4EDC">
      <w:pPr>
        <w:spacing w:after="120"/>
        <w:rPr>
          <w:rStyle w:val="Hyperlink1"/>
        </w:rPr>
      </w:pPr>
    </w:p>
    <w:p w:rsidR="00044ABB" w:rsidRDefault="00044ABB" w:rsidP="00D304E2">
      <w:pPr>
        <w:spacing w:after="0" w:line="240" w:lineRule="auto"/>
        <w:jc w:val="center"/>
        <w:rPr>
          <w:b/>
          <w:bCs/>
          <w:color w:val="00457D"/>
          <w:sz w:val="24"/>
          <w:szCs w:val="24"/>
          <w:u w:color="00457D"/>
        </w:rPr>
      </w:pPr>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120F46">
      <w:pPr>
        <w:jc w:val="center"/>
        <w:rPr>
          <w:b/>
          <w:bCs/>
          <w:color w:val="00457D"/>
          <w:sz w:val="24"/>
          <w:szCs w:val="24"/>
          <w:u w:color="00457D"/>
        </w:rPr>
      </w:pPr>
      <w:r>
        <w:rPr>
          <w:b/>
          <w:bCs/>
          <w:noProof/>
          <w:color w:val="00457D"/>
          <w:sz w:val="24"/>
          <w:szCs w:val="24"/>
          <w:u w:color="00457D"/>
        </w:rPr>
        <w:drawing>
          <wp:inline distT="0" distB="0" distL="0" distR="0" wp14:anchorId="769B5922" wp14:editId="40B76C81">
            <wp:extent cx="5760000" cy="319339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120F46">
        <w:rPr>
          <w:b/>
          <w:bCs/>
          <w:noProof/>
          <w:color w:val="00457D"/>
          <w:sz w:val="24"/>
          <w:szCs w:val="24"/>
          <w:u w:color="00457D"/>
        </w:rPr>
        <w:drawing>
          <wp:inline distT="0" distB="0" distL="0" distR="0" wp14:anchorId="57CA7424" wp14:editId="0CD67CC5">
            <wp:extent cx="5760000" cy="3192521"/>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headerReference w:type="default" r:id="rId16"/>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120F46"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1B7D566E" wp14:editId="32696AAA">
            <wp:extent cx="9360000" cy="4810624"/>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120F46" w:rsidP="00E10DC3">
      <w:pPr>
        <w:spacing w:after="0"/>
        <w:jc w:val="center"/>
        <w:rPr>
          <w:color w:val="auto"/>
        </w:rPr>
      </w:pPr>
      <w:r>
        <w:rPr>
          <w:noProof/>
          <w:color w:val="auto"/>
        </w:rPr>
        <w:drawing>
          <wp:inline distT="0" distB="0" distL="0" distR="0" wp14:anchorId="112DD826" wp14:editId="26C9DBDC">
            <wp:extent cx="5760000" cy="280843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808430"/>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120F46" w:rsidP="000E770E">
      <w:pPr>
        <w:spacing w:after="0" w:line="276" w:lineRule="auto"/>
        <w:jc w:val="center"/>
        <w:rPr>
          <w:color w:val="auto"/>
        </w:rPr>
      </w:pPr>
      <w:r>
        <w:rPr>
          <w:noProof/>
          <w:color w:val="auto"/>
        </w:rPr>
        <w:drawing>
          <wp:inline distT="0" distB="0" distL="0" distR="0" wp14:anchorId="29044749" wp14:editId="242F967C">
            <wp:extent cx="5760000" cy="3118094"/>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120F46"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50ACDA27" wp14:editId="1239F279">
            <wp:extent cx="5760000" cy="3080328"/>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080328"/>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061647" w:rsidRDefault="00061647" w:rsidP="00061647">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7</w:t>
      </w:r>
    </w:p>
    <w:p w:rsidR="00061647" w:rsidRDefault="00120F46" w:rsidP="0006164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417B970" wp14:editId="2D31E158">
            <wp:extent cx="5760000" cy="288021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880211"/>
                    </a:xfrm>
                    <a:prstGeom prst="rect">
                      <a:avLst/>
                    </a:prstGeom>
                    <a:noFill/>
                  </pic:spPr>
                </pic:pic>
              </a:graphicData>
            </a:graphic>
          </wp:inline>
        </w:drawing>
      </w:r>
      <w:r w:rsidR="00061647">
        <w:rPr>
          <w:b/>
          <w:bCs/>
          <w:color w:val="00457D"/>
          <w:sz w:val="24"/>
          <w:szCs w:val="24"/>
          <w:u w:color="00457D"/>
        </w:rPr>
        <w:br w:type="page"/>
      </w:r>
    </w:p>
    <w:p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061647">
        <w:rPr>
          <w:b/>
          <w:bCs/>
          <w:color w:val="00457D"/>
          <w:sz w:val="24"/>
          <w:szCs w:val="24"/>
          <w:u w:color="00457D"/>
        </w:rPr>
        <w:t>8</w:t>
      </w:r>
    </w:p>
    <w:p w:rsidR="00D93FAE" w:rsidRPr="00D93FAE" w:rsidRDefault="00571B0C"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6D9EB6C5" wp14:editId="7CD6A08B">
            <wp:extent cx="5688000" cy="5639018"/>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000" cy="5639018"/>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061647">
        <w:rPr>
          <w:b/>
          <w:bCs/>
          <w:color w:val="00457D"/>
          <w:sz w:val="24"/>
          <w:szCs w:val="24"/>
          <w:u w:color="00457D"/>
        </w:rPr>
        <w:t>9</w:t>
      </w:r>
    </w:p>
    <w:p w:rsidR="003274E5" w:rsidRDefault="00120F46"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50D9F3CC" wp14:editId="546ACA53">
            <wp:extent cx="5688000" cy="2758028"/>
            <wp:effectExtent l="0" t="0" r="8255"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8000" cy="2758028"/>
                    </a:xfrm>
                    <a:prstGeom prst="rect">
                      <a:avLst/>
                    </a:prstGeom>
                    <a:noFill/>
                  </pic:spPr>
                </pic:pic>
              </a:graphicData>
            </a:graphic>
          </wp:inline>
        </w:drawing>
      </w:r>
    </w:p>
    <w:p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lastRenderedPageBreak/>
        <w:t>Figura</w:t>
      </w:r>
      <w:r w:rsidR="006176B8" w:rsidRPr="008049CF">
        <w:rPr>
          <w:b/>
          <w:bCs/>
          <w:color w:val="00457D"/>
          <w:sz w:val="24"/>
          <w:szCs w:val="24"/>
          <w:u w:color="00457D"/>
        </w:rPr>
        <w:t xml:space="preserve"> </w:t>
      </w:r>
      <w:r w:rsidR="00061647" w:rsidRPr="008049CF">
        <w:rPr>
          <w:b/>
          <w:bCs/>
          <w:color w:val="00457D"/>
          <w:sz w:val="24"/>
          <w:szCs w:val="24"/>
          <w:u w:color="00457D"/>
        </w:rPr>
        <w:t>10</w:t>
      </w:r>
    </w:p>
    <w:p w:rsidR="00542585" w:rsidRDefault="00571B0C" w:rsidP="00F529F2">
      <w:pPr>
        <w:jc w:val="center"/>
        <w:rPr>
          <w:b/>
          <w:bCs/>
          <w:color w:val="00457D"/>
          <w:sz w:val="24"/>
          <w:szCs w:val="24"/>
          <w:u w:color="00457D"/>
        </w:rPr>
      </w:pPr>
      <w:r>
        <w:rPr>
          <w:b/>
          <w:bCs/>
          <w:noProof/>
          <w:color w:val="00457D"/>
          <w:sz w:val="24"/>
          <w:szCs w:val="24"/>
          <w:u w:color="00457D"/>
        </w:rPr>
        <w:drawing>
          <wp:inline distT="0" distB="0" distL="0" distR="0" wp14:anchorId="1FE0BD9A" wp14:editId="0BD6828F">
            <wp:extent cx="5760000" cy="4506849"/>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506849"/>
                    </a:xfrm>
                    <a:prstGeom prst="rect">
                      <a:avLst/>
                    </a:prstGeom>
                    <a:noFill/>
                  </pic:spPr>
                </pic:pic>
              </a:graphicData>
            </a:graphic>
          </wp:inline>
        </w:drawing>
      </w:r>
    </w:p>
    <w:p w:rsidR="001C70B3" w:rsidRDefault="001C70B3" w:rsidP="00F529F2">
      <w:pPr>
        <w:jc w:val="center"/>
        <w:rPr>
          <w:b/>
          <w:bCs/>
          <w:color w:val="00457D"/>
          <w:sz w:val="24"/>
          <w:szCs w:val="24"/>
          <w:u w:color="00457D"/>
        </w:rPr>
      </w:pP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061647">
        <w:rPr>
          <w:b/>
          <w:bCs/>
          <w:color w:val="00457D"/>
          <w:sz w:val="24"/>
          <w:szCs w:val="24"/>
          <w:u w:color="00457D"/>
        </w:rPr>
        <w:t>1</w:t>
      </w:r>
    </w:p>
    <w:p w:rsidR="00DB1360" w:rsidRDefault="002B5AE9"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F5B519C" wp14:editId="2D56A736">
            <wp:extent cx="5760000" cy="3348465"/>
            <wp:effectExtent l="0" t="0" r="0"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w:t>
      </w:r>
      <w:r w:rsidR="00061647">
        <w:rPr>
          <w:b/>
          <w:bCs/>
          <w:color w:val="00457D"/>
          <w:sz w:val="24"/>
          <w:szCs w:val="24"/>
          <w:u w:color="00457D"/>
        </w:rPr>
        <w:t>2</w:t>
      </w:r>
    </w:p>
    <w:p w:rsidR="004B6DC2" w:rsidRDefault="00951CAA"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0599EC7" wp14:editId="392D222B">
            <wp:extent cx="5760000" cy="3878793"/>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878793"/>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061647">
        <w:rPr>
          <w:b/>
          <w:bCs/>
          <w:color w:val="00457D"/>
          <w:sz w:val="24"/>
          <w:szCs w:val="24"/>
          <w:u w:color="00457D"/>
        </w:rPr>
        <w:t>3</w:t>
      </w:r>
    </w:p>
    <w:p w:rsidR="001B3764" w:rsidRPr="00466C2D" w:rsidRDefault="00571B0C"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384986D" wp14:editId="60D8480A">
            <wp:extent cx="5760000" cy="366194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61941"/>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061647">
        <w:rPr>
          <w:b/>
          <w:bCs/>
          <w:color w:val="00457D"/>
          <w:sz w:val="24"/>
          <w:szCs w:val="24"/>
          <w:u w:color="00457D"/>
        </w:rPr>
        <w:t>4</w:t>
      </w:r>
    </w:p>
    <w:p w:rsidR="003D05A8" w:rsidRDefault="00571B0C"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64509B8C" wp14:editId="036C23A1">
            <wp:extent cx="5760000" cy="366194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61941"/>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211923" w:rsidRPr="00466C2D" w:rsidRDefault="00211923" w:rsidP="00DF30EE">
      <w:pPr>
        <w:spacing w:after="0" w:line="240" w:lineRule="auto"/>
        <w:jc w:val="center"/>
        <w:rPr>
          <w:b/>
          <w:bCs/>
          <w:color w:val="00457D"/>
          <w:sz w:val="24"/>
          <w:szCs w:val="24"/>
          <w:u w:color="00457D"/>
        </w:rPr>
      </w:pPr>
    </w:p>
    <w:p w:rsidR="00211923" w:rsidRDefault="00211923">
      <w:pPr>
        <w:spacing w:after="0" w:line="240" w:lineRule="auto"/>
        <w:rPr>
          <w:noProof/>
          <w:color w:val="FF0000"/>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lastRenderedPageBreak/>
        <w:t xml:space="preserve">Figura </w:t>
      </w:r>
      <w:r w:rsidR="00D022C4" w:rsidRPr="008049CF">
        <w:rPr>
          <w:b/>
          <w:bCs/>
          <w:color w:val="00457D"/>
          <w:sz w:val="24"/>
          <w:szCs w:val="24"/>
          <w:u w:color="00457D"/>
        </w:rPr>
        <w:t>1</w:t>
      </w:r>
      <w:r w:rsidR="00D022C4">
        <w:rPr>
          <w:b/>
          <w:bCs/>
          <w:color w:val="00457D"/>
          <w:sz w:val="24"/>
          <w:szCs w:val="24"/>
          <w:u w:color="00457D"/>
        </w:rPr>
        <w:t>5</w:t>
      </w:r>
    </w:p>
    <w:p w:rsidR="00A15BB4" w:rsidRDefault="00571B0C" w:rsidP="00012B67">
      <w:pPr>
        <w:spacing w:line="276" w:lineRule="auto"/>
        <w:jc w:val="center"/>
        <w:rPr>
          <w:color w:val="FF0000"/>
        </w:rPr>
      </w:pPr>
      <w:r>
        <w:rPr>
          <w:noProof/>
          <w:color w:val="FF0000"/>
        </w:rPr>
        <w:drawing>
          <wp:inline distT="0" distB="0" distL="0" distR="0" wp14:anchorId="669F7BD4" wp14:editId="0F5E5188">
            <wp:extent cx="5760000" cy="3634133"/>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DF30EE" w:rsidRDefault="00DF30EE">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p>
    <w:p w:rsidR="001C3537" w:rsidRDefault="001C3537" w:rsidP="00622991">
      <w:pPr>
        <w:spacing w:after="0" w:line="240" w:lineRule="auto"/>
        <w:jc w:val="center"/>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sidR="00D022C4">
        <w:rPr>
          <w:b/>
          <w:bCs/>
          <w:color w:val="00457D"/>
          <w:sz w:val="24"/>
          <w:szCs w:val="24"/>
          <w:u w:color="00457D"/>
        </w:rPr>
        <w:t>1</w:t>
      </w:r>
      <w:r w:rsidR="00B12111">
        <w:rPr>
          <w:b/>
          <w:bCs/>
          <w:color w:val="00457D"/>
          <w:sz w:val="24"/>
          <w:szCs w:val="24"/>
          <w:u w:color="00457D"/>
        </w:rPr>
        <w:t>6</w:t>
      </w:r>
    </w:p>
    <w:p w:rsidR="00333BB6" w:rsidRDefault="002B5AE9" w:rsidP="001B2CE3">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06A75E5" wp14:editId="7F39A176">
            <wp:extent cx="5760000" cy="4340335"/>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A15BB4" w:rsidRDefault="00A15BB4">
      <w:pPr>
        <w:spacing w:after="0" w:line="240" w:lineRule="auto"/>
        <w:rPr>
          <w:b/>
          <w:bCs/>
          <w:color w:val="00457D"/>
          <w:sz w:val="24"/>
          <w:szCs w:val="24"/>
          <w:u w:color="00457D"/>
        </w:rPr>
      </w:pPr>
    </w:p>
    <w:p w:rsidR="004B6DC2" w:rsidRPr="00914317" w:rsidRDefault="004B6DC2" w:rsidP="004B6DC2">
      <w:pPr>
        <w:spacing w:after="0" w:line="240" w:lineRule="auto"/>
        <w:jc w:val="center"/>
        <w:rPr>
          <w:b/>
          <w:bCs/>
          <w:color w:val="00457D"/>
          <w:sz w:val="24"/>
          <w:szCs w:val="24"/>
          <w:u w:color="00457D"/>
        </w:rPr>
      </w:pPr>
      <w:r w:rsidRPr="00914317">
        <w:rPr>
          <w:b/>
          <w:bCs/>
          <w:color w:val="00457D"/>
          <w:sz w:val="24"/>
          <w:szCs w:val="24"/>
          <w:u w:color="00457D"/>
        </w:rPr>
        <w:t xml:space="preserve">Figura </w:t>
      </w:r>
      <w:r w:rsidR="00D022C4" w:rsidRPr="00914317">
        <w:rPr>
          <w:b/>
          <w:bCs/>
          <w:color w:val="00457D"/>
          <w:sz w:val="24"/>
          <w:szCs w:val="24"/>
          <w:u w:color="00457D"/>
        </w:rPr>
        <w:t>1</w:t>
      </w:r>
      <w:r w:rsidR="00B12111">
        <w:rPr>
          <w:b/>
          <w:bCs/>
          <w:color w:val="00457D"/>
          <w:sz w:val="24"/>
          <w:szCs w:val="24"/>
          <w:u w:color="00457D"/>
        </w:rPr>
        <w:t>7</w:t>
      </w:r>
    </w:p>
    <w:p w:rsidR="004B6DC2" w:rsidRDefault="002B5AE9"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0F432D0" wp14:editId="134E34A6">
            <wp:extent cx="5760000" cy="3364932"/>
            <wp:effectExtent l="0" t="0" r="0"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364932"/>
                    </a:xfrm>
                    <a:prstGeom prst="rect">
                      <a:avLst/>
                    </a:prstGeom>
                    <a:noFill/>
                  </pic:spPr>
                </pic:pic>
              </a:graphicData>
            </a:graphic>
          </wp:inline>
        </w:drawing>
      </w:r>
    </w:p>
    <w:p w:rsidR="004B6DC2" w:rsidRDefault="004B6DC2" w:rsidP="004B6DC2">
      <w:pPr>
        <w:spacing w:after="0" w:line="240" w:lineRule="auto"/>
        <w:jc w:val="center"/>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1B2CE3" w:rsidRPr="00D001BF" w:rsidRDefault="004B6DC2" w:rsidP="002B5AE9">
      <w:pPr>
        <w:spacing w:after="0" w:line="240" w:lineRule="auto"/>
        <w:jc w:val="center"/>
        <w:rPr>
          <w:b/>
          <w:bCs/>
          <w:color w:val="00457D"/>
          <w:sz w:val="24"/>
          <w:szCs w:val="24"/>
          <w:u w:color="00457D"/>
        </w:rPr>
      </w:pPr>
      <w:r w:rsidRPr="00D001BF">
        <w:rPr>
          <w:b/>
          <w:bCs/>
          <w:color w:val="00457D"/>
          <w:sz w:val="24"/>
          <w:szCs w:val="24"/>
          <w:u w:color="00457D"/>
        </w:rPr>
        <w:lastRenderedPageBreak/>
        <w:t xml:space="preserve">Figura </w:t>
      </w:r>
      <w:r w:rsidR="00D022C4">
        <w:rPr>
          <w:b/>
          <w:bCs/>
          <w:color w:val="00457D"/>
          <w:sz w:val="24"/>
          <w:szCs w:val="24"/>
          <w:u w:color="00457D"/>
        </w:rPr>
        <w:t>1</w:t>
      </w:r>
      <w:r w:rsidR="00B12111">
        <w:rPr>
          <w:b/>
          <w:bCs/>
          <w:color w:val="00457D"/>
          <w:sz w:val="24"/>
          <w:szCs w:val="24"/>
          <w:u w:color="00457D"/>
        </w:rPr>
        <w:t>8</w:t>
      </w:r>
    </w:p>
    <w:p w:rsidR="004B6DC2" w:rsidRDefault="002B5AE9" w:rsidP="004B6DC2">
      <w:pPr>
        <w:spacing w:after="0" w:line="240" w:lineRule="auto"/>
        <w:rPr>
          <w:b/>
          <w:bCs/>
          <w:color w:val="00457D"/>
          <w:sz w:val="24"/>
          <w:szCs w:val="24"/>
          <w:u w:color="00457D"/>
        </w:rPr>
        <w:sectPr w:rsidR="004B6DC2">
          <w:pgSz w:w="11900" w:h="16840"/>
          <w:pgMar w:top="1134" w:right="1134" w:bottom="1418" w:left="1134" w:header="709" w:footer="709" w:gutter="0"/>
          <w:cols w:space="720"/>
        </w:sectPr>
      </w:pPr>
      <w:r>
        <w:rPr>
          <w:b/>
          <w:bCs/>
          <w:noProof/>
          <w:color w:val="00457D"/>
          <w:sz w:val="24"/>
          <w:szCs w:val="24"/>
          <w:u w:color="00457D"/>
        </w:rPr>
        <w:drawing>
          <wp:inline distT="0" distB="0" distL="0" distR="0" wp14:anchorId="3A468B0A" wp14:editId="3F50C417">
            <wp:extent cx="5760000" cy="4298414"/>
            <wp:effectExtent l="0" t="0" r="0" b="698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298414"/>
                    </a:xfrm>
                    <a:prstGeom prst="rect">
                      <a:avLst/>
                    </a:prstGeom>
                    <a:noFill/>
                  </pic:spPr>
                </pic:pic>
              </a:graphicData>
            </a:graphic>
          </wp:inline>
        </w:drawing>
      </w: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B12111">
        <w:rPr>
          <w:b/>
          <w:bCs/>
          <w:color w:val="00457D"/>
          <w:sz w:val="24"/>
          <w:szCs w:val="24"/>
          <w:u w:color="00457D"/>
        </w:rPr>
        <w:t>19</w:t>
      </w:r>
    </w:p>
    <w:p w:rsidR="004066D0" w:rsidRDefault="002A2549"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187F8ECF" wp14:editId="7096569D">
            <wp:extent cx="9360000" cy="5273582"/>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60000" cy="5273582"/>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rsidR="00120F46" w:rsidRDefault="004D16FF" w:rsidP="00120F46">
      <w:pPr>
        <w:spacing w:line="276" w:lineRule="auto"/>
        <w:jc w:val="center"/>
      </w:pPr>
      <w:r w:rsidRPr="001C3537">
        <w:rPr>
          <w:b/>
          <w:bCs/>
          <w:color w:val="00457D"/>
          <w:sz w:val="24"/>
          <w:szCs w:val="24"/>
          <w:u w:color="00457D"/>
        </w:rPr>
        <w:lastRenderedPageBreak/>
        <w:t xml:space="preserve">Tabella 1. Indicatori regionali: settimana </w:t>
      </w:r>
      <w:r w:rsidR="00110316">
        <w:rPr>
          <w:b/>
          <w:bCs/>
          <w:color w:val="00457D"/>
          <w:sz w:val="24"/>
          <w:szCs w:val="24"/>
          <w:u w:color="00457D"/>
        </w:rPr>
        <w:t>2</w:t>
      </w:r>
      <w:r w:rsidR="00120F46">
        <w:rPr>
          <w:b/>
          <w:bCs/>
          <w:color w:val="00457D"/>
          <w:sz w:val="24"/>
          <w:szCs w:val="24"/>
          <w:u w:color="00457D"/>
        </w:rPr>
        <w:t>3</w:t>
      </w:r>
      <w:r>
        <w:rPr>
          <w:b/>
          <w:bCs/>
          <w:color w:val="00457D"/>
          <w:sz w:val="24"/>
          <w:szCs w:val="24"/>
          <w:u w:color="00457D"/>
        </w:rPr>
        <w:t xml:space="preserve"> febbraio</w:t>
      </w:r>
      <w:r w:rsidR="00120F46">
        <w:rPr>
          <w:b/>
          <w:bCs/>
          <w:color w:val="00457D"/>
          <w:sz w:val="24"/>
          <w:szCs w:val="24"/>
          <w:u w:color="00457D"/>
        </w:rPr>
        <w:t>-1 marzo</w:t>
      </w:r>
      <w:r>
        <w:rPr>
          <w:b/>
          <w:bCs/>
          <w:color w:val="00457D"/>
          <w:sz w:val="24"/>
          <w:szCs w:val="24"/>
          <w:u w:color="00457D"/>
        </w:rPr>
        <w:t xml:space="preserve"> 2022</w:t>
      </w:r>
    </w:p>
    <w:tbl>
      <w:tblPr>
        <w:tblW w:w="9639" w:type="dxa"/>
        <w:tblInd w:w="70" w:type="dxa"/>
        <w:tblCellMar>
          <w:left w:w="70" w:type="dxa"/>
          <w:right w:w="70" w:type="dxa"/>
        </w:tblCellMar>
        <w:tblLook w:val="04A0" w:firstRow="1" w:lastRow="0" w:firstColumn="1" w:lastColumn="0" w:noHBand="0" w:noVBand="1"/>
      </w:tblPr>
      <w:tblGrid>
        <w:gridCol w:w="2127"/>
        <w:gridCol w:w="1660"/>
        <w:gridCol w:w="1458"/>
        <w:gridCol w:w="2126"/>
        <w:gridCol w:w="2268"/>
      </w:tblGrid>
      <w:tr w:rsidR="00120F46" w:rsidRPr="00120F46" w:rsidTr="00120F46">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120F46" w:rsidRPr="00120F46" w:rsidRDefault="00120F46" w:rsidP="00120F4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120F46">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120F46" w:rsidRPr="00120F46" w:rsidRDefault="00120F46" w:rsidP="00120F4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120F46">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120F46" w:rsidRPr="00120F46" w:rsidRDefault="00120F46" w:rsidP="00120F4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120F46">
              <w:rPr>
                <w:rFonts w:eastAsia="Times New Roman" w:cs="Calibri"/>
                <w:b/>
                <w:bCs/>
                <w:color w:val="FFFFFF"/>
                <w:bdr w:val="none" w:sz="0" w:space="0" w:color="auto"/>
              </w:rPr>
              <w:t xml:space="preserve">Variazione </w:t>
            </w:r>
            <w:r w:rsidRPr="00120F46">
              <w:rPr>
                <w:rFonts w:eastAsia="Times New Roman" w:cs="Calibri"/>
                <w:b/>
                <w:bCs/>
                <w:color w:val="FFFFFF"/>
                <w:bdr w:val="none" w:sz="0" w:space="0" w:color="auto"/>
              </w:rPr>
              <w:br/>
              <w:t>% nuovi casi</w:t>
            </w:r>
          </w:p>
        </w:tc>
        <w:tc>
          <w:tcPr>
            <w:tcW w:w="2126" w:type="dxa"/>
            <w:tcBorders>
              <w:top w:val="single" w:sz="4" w:space="0" w:color="00457D"/>
              <w:left w:val="nil"/>
              <w:bottom w:val="single" w:sz="4" w:space="0" w:color="00457D"/>
              <w:right w:val="single" w:sz="4" w:space="0" w:color="FFFFFF"/>
            </w:tcBorders>
            <w:shd w:val="clear" w:color="000000" w:fill="00457D"/>
            <w:vAlign w:val="center"/>
            <w:hideMark/>
          </w:tcPr>
          <w:p w:rsidR="00120F46" w:rsidRPr="00120F46" w:rsidRDefault="00120F46" w:rsidP="00120F4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120F46">
              <w:rPr>
                <w:rFonts w:eastAsia="Times New Roman" w:cs="Calibri"/>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rsidR="00120F46" w:rsidRPr="00120F46" w:rsidRDefault="00120F46" w:rsidP="00120F4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120F46">
              <w:rPr>
                <w:rFonts w:eastAsia="Times New Roman" w:cs="Calibri"/>
                <w:b/>
                <w:bCs/>
                <w:color w:val="FFFFFF"/>
                <w:bdr w:val="none" w:sz="0" w:space="0" w:color="auto"/>
              </w:rPr>
              <w:t xml:space="preserve">Posti letto in terapia intensiva occupati da </w:t>
            </w:r>
            <w:r w:rsidRPr="00120F46">
              <w:rPr>
                <w:rFonts w:eastAsia="Times New Roman" w:cs="Calibri"/>
                <w:b/>
                <w:bCs/>
                <w:color w:val="FFFFFF"/>
                <w:bdr w:val="none" w:sz="0" w:space="0" w:color="auto"/>
              </w:rPr>
              <w:br/>
              <w:t>pazienti COVID−19</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4.848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-22,1%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26,3%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8,8%</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3.533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-21,9%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25,2%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3,8%</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20F46">
              <w:rPr>
                <w:rFonts w:eastAsia="Times New Roman" w:cs="Calibri"/>
                <w:color w:val="9C0006"/>
                <w:bdr w:val="none" w:sz="0" w:space="0" w:color="auto"/>
              </w:rPr>
              <w:t>2.474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25,4%</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8,4%</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2.263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-32,3%</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17,0%</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6,4%</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726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-23,8%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15,0%</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7,3%</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1.550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-33,4%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15,5%</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8,6%</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2.271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-20,4%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20,9%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12,3%</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895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-17,2%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20,0%</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7,7%</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1.140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-15,9%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9,6%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5,4%</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1.146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-17,6%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19,3%</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9,0%</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2.163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-14,0%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15,3%</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5,1%</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1.029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-27,2%</w:t>
            </w:r>
          </w:p>
        </w:tc>
        <w:tc>
          <w:tcPr>
            <w:tcW w:w="2126"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13,5%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6,4%</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947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-29,8%</w:t>
            </w:r>
          </w:p>
        </w:tc>
        <w:tc>
          <w:tcPr>
            <w:tcW w:w="2126"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14,4%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1,0%</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609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-23,2%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8,7%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4,4%</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1.957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-19,8%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20,3%</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7,2%</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1.850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-34,1%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19,1%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12,7%</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4.711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-12,6%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27,5%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8,4%</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779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-19,8%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15,7%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9,5%</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1.044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-13,1%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22,7%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7,0%</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1.056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-29,6%</w:t>
            </w:r>
          </w:p>
        </w:tc>
        <w:tc>
          <w:tcPr>
            <w:tcW w:w="2126"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12,3%</w:t>
            </w:r>
          </w:p>
        </w:tc>
        <w:tc>
          <w:tcPr>
            <w:tcW w:w="226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006100"/>
              </w:rPr>
              <w:t>8,8%</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20F46">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1.074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20F46">
              <w:rPr>
                <w:rFonts w:eastAsia="Times New Roman" w:cs="Calibri"/>
                <w:color w:val="006100"/>
                <w:bdr w:val="none" w:sz="0" w:space="0" w:color="auto"/>
              </w:rPr>
              <w:t>-23,7%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9,4%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006100"/>
              </w:rPr>
              <w:t>5,0%</w:t>
            </w:r>
          </w:p>
        </w:tc>
      </w:tr>
      <w:tr w:rsidR="008B7B4B" w:rsidRPr="00120F46" w:rsidTr="008B7B4B">
        <w:trPr>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120F46">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120F46">
              <w:rPr>
                <w:rFonts w:eastAsia="Times New Roman" w:cs="Calibri"/>
                <w:b/>
                <w:bCs/>
                <w:color w:val="006100"/>
                <w:bdr w:val="none" w:sz="0" w:space="0" w:color="auto"/>
              </w:rPr>
              <w:t>1.799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120F46">
              <w:rPr>
                <w:rFonts w:eastAsia="Times New Roman" w:cs="Calibri"/>
                <w:b/>
                <w:bCs/>
                <w:color w:val="006100"/>
                <w:bdr w:val="none" w:sz="0" w:space="0" w:color="auto"/>
              </w:rPr>
              <w:t>-21,1%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Pr>
                <w:rFonts w:cs="Calibri"/>
                <w:b/>
                <w:bCs/>
                <w:color w:val="9C0006"/>
              </w:rPr>
              <w:t>16,0%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B7B4B" w:rsidRPr="00120F46" w:rsidRDefault="008B7B4B" w:rsidP="008B7B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Pr>
                <w:rFonts w:cs="Calibri"/>
                <w:b/>
                <w:bCs/>
                <w:color w:val="006100"/>
              </w:rPr>
              <w:t>7,4%</w:t>
            </w:r>
          </w:p>
        </w:tc>
      </w:tr>
      <w:tr w:rsidR="00120F46" w:rsidRPr="00120F46" w:rsidTr="00120F46">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120F46" w:rsidRPr="00120F46" w:rsidRDefault="00120F46" w:rsidP="00120F4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120F46">
              <w:rPr>
                <w:rFonts w:eastAsia="Times New Roman" w:cs="Calibri"/>
                <w:color w:val="auto"/>
                <w:sz w:val="20"/>
                <w:szCs w:val="20"/>
                <w:bdr w:val="none" w:sz="0" w:space="0" w:color="auto"/>
              </w:rPr>
              <w:t>Nota: nella prima colonna rosso, verde e giallo indicano rispettivamente una performance regionale in peggioramento, in miglioramento o stabile, rispetto alla settimana precedente.</w:t>
            </w:r>
            <w:r w:rsidRPr="00120F46">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120F46">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4D16FF" w:rsidRDefault="004D16FF" w:rsidP="004D16FF">
      <w:pPr>
        <w:spacing w:after="0" w:line="240" w:lineRule="auto"/>
      </w:pPr>
      <w:r>
        <w:br w:type="page"/>
      </w:r>
    </w:p>
    <w:p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4D16FF" w:rsidRDefault="004D16FF" w:rsidP="004D16FF">
      <w:pPr>
        <w:spacing w:after="80" w:line="240" w:lineRule="auto"/>
        <w:jc w:val="center"/>
        <w:rPr>
          <w:b/>
          <w:bCs/>
          <w:color w:val="00457D"/>
          <w:spacing w:val="-3"/>
          <w:sz w:val="10"/>
          <w:szCs w:val="10"/>
          <w:u w:color="00457D"/>
        </w:rPr>
      </w:pPr>
    </w:p>
    <w:tbl>
      <w:tblPr>
        <w:tblStyle w:val="TableNormal"/>
        <w:tblW w:w="7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3054"/>
      </w:tblGrid>
      <w:tr w:rsidR="004D16FF" w:rsidRPr="005672CD" w:rsidTr="00775550">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4D16FF" w:rsidRPr="005672CD" w:rsidRDefault="004D16FF"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4D16FF" w:rsidRPr="005672CD" w:rsidRDefault="004D16FF" w:rsidP="00775550">
            <w:pPr>
              <w:spacing w:after="0" w:line="240" w:lineRule="auto"/>
              <w:rPr>
                <w:rFonts w:cs="Calibri"/>
                <w:szCs w:val="20"/>
              </w:rPr>
            </w:pPr>
            <w:r w:rsidRPr="005672CD">
              <w:rPr>
                <w:rFonts w:cs="Calibri"/>
                <w:b/>
                <w:bCs/>
                <w:color w:val="FFFFFF"/>
                <w:szCs w:val="20"/>
                <w:u w:color="FFFFFF"/>
              </w:rPr>
              <w:t>Provincia</w:t>
            </w:r>
          </w:p>
        </w:tc>
        <w:tc>
          <w:tcPr>
            <w:tcW w:w="3054"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4D16FF" w:rsidRPr="005672CD" w:rsidRDefault="004D16FF" w:rsidP="00120F46">
            <w:pPr>
              <w:spacing w:after="0" w:line="240" w:lineRule="auto"/>
              <w:jc w:val="center"/>
              <w:rPr>
                <w:rFonts w:cs="Calibri"/>
                <w:szCs w:val="20"/>
              </w:rPr>
            </w:pPr>
            <w:r w:rsidRPr="005672CD">
              <w:rPr>
                <w:rFonts w:cs="Calibri"/>
                <w:b/>
                <w:bCs/>
                <w:color w:val="FFFFFF"/>
                <w:szCs w:val="20"/>
                <w:u w:color="FFFFFF"/>
              </w:rPr>
              <w:t xml:space="preserve">Nuovi casi per 100.000 abitanti </w:t>
            </w:r>
            <w:r>
              <w:rPr>
                <w:rFonts w:cs="Calibri"/>
                <w:b/>
                <w:bCs/>
                <w:color w:val="FFFFFF"/>
                <w:szCs w:val="20"/>
                <w:u w:color="FFFFFF"/>
              </w:rPr>
              <w:br/>
            </w:r>
            <w:r w:rsidR="00120F46">
              <w:rPr>
                <w:rFonts w:cs="Calibri"/>
                <w:b/>
                <w:bCs/>
                <w:color w:val="FFFFFF"/>
                <w:szCs w:val="20"/>
                <w:u w:color="FFFFFF"/>
              </w:rPr>
              <w:t>23</w:t>
            </w:r>
            <w:r>
              <w:rPr>
                <w:rFonts w:cs="Calibri"/>
                <w:b/>
                <w:bCs/>
                <w:color w:val="FFFFFF"/>
                <w:szCs w:val="20"/>
                <w:u w:color="FFFFFF"/>
              </w:rPr>
              <w:t xml:space="preserve"> febbraio</w:t>
            </w:r>
            <w:r w:rsidR="00120F46">
              <w:rPr>
                <w:rFonts w:cs="Calibri"/>
                <w:b/>
                <w:bCs/>
                <w:color w:val="FFFFFF"/>
                <w:szCs w:val="20"/>
                <w:u w:color="FFFFFF"/>
              </w:rPr>
              <w:t>-1 marzo</w:t>
            </w:r>
            <w:r>
              <w:rPr>
                <w:rFonts w:cs="Calibri"/>
                <w:b/>
                <w:bCs/>
                <w:color w:val="FFFFFF"/>
                <w:szCs w:val="20"/>
                <w:u w:color="FFFFFF"/>
              </w:rPr>
              <w:t xml:space="preserve"> 2022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Teramo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700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L'Aquila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600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Chieti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576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Pescara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536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Potenza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596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Matera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595</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Reggio di Calabria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1.035</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Vibo Valentia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860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Crotone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642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Cosenza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319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Catanzaro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253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Caserta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490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Benevento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458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Salerno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457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Avellino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414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Napoli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381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Ravenna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409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Ferrara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408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Bologna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398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Rimini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387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Reggio nell'Emilia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350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Forlì-Cesena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348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Parma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308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Modena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289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Piacenza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212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Trieste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411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Pordenone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338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Gorizia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329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Udine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316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669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Latina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590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Frosinone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552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Roma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539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Viterbo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447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Genova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477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La Spezia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460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Savona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413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Imperia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330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Mantova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384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Cremona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363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Varese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332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Pavia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317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Brescia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294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Como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293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Milano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291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Monza e della Brianza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289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Sondrio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269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Lodi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263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Lecco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254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Bergamo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184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804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Ascoli Piceno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724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Macerata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701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Ancona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641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Pesaro e Urbino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437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Campobasso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586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Isernia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533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Bolzano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626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Trento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372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Verbano-Cusio-Ossola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399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Alessandria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345</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Torino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318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Asti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275</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Vercelli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266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Biella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261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Novara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227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Cuneo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184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Lecce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848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Foggia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580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Taranto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508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477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Brindisi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472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Barletta-Andria-Trani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444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Oristano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790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Sud Sardegna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521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Cagliari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494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Sassari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492</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Nuoro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278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Messina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896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Siracusa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814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Ragusa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705</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Palermo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679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Agrigento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666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653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Caltanissetta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586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Trapani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568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Catania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489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Siena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651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Arezzo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620</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Grosseto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578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Lucca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568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Livorno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537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Massa Carrara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479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Pistoia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408</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Pisa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394</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Firenze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343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Prato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267</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Terni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586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Perugia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571</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Aosta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179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585</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Padova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553</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Belluno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496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Vicenza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479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Rovigo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466</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Verona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449</w:t>
            </w:r>
          </w:p>
        </w:tc>
      </w:tr>
      <w:tr w:rsidR="00120F46" w:rsidRPr="005672CD" w:rsidTr="00AF20A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rPr>
                <w:rFonts w:cs="Calibri"/>
              </w:rPr>
            </w:pPr>
            <w:r>
              <w:rPr>
                <w:rFonts w:cs="Calibri"/>
              </w:rPr>
              <w:t>Treviso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20F46" w:rsidRDefault="00120F46" w:rsidP="00120F46">
            <w:pPr>
              <w:spacing w:after="0" w:line="240" w:lineRule="auto"/>
              <w:contextualSpacing/>
              <w:jc w:val="center"/>
              <w:rPr>
                <w:rFonts w:cs="Calibri"/>
              </w:rPr>
            </w:pPr>
            <w:r>
              <w:rPr>
                <w:rFonts w:cs="Calibri"/>
              </w:rPr>
              <w:t>440</w:t>
            </w:r>
          </w:p>
        </w:tc>
      </w:tr>
    </w:tbl>
    <w:p w:rsidR="004D16FF" w:rsidRDefault="004D16FF" w:rsidP="004D16FF">
      <w:pPr>
        <w:widowControl w:val="0"/>
        <w:spacing w:after="80" w:line="240" w:lineRule="auto"/>
        <w:jc w:val="center"/>
      </w:pPr>
    </w:p>
    <w:p w:rsidR="004D16FF" w:rsidRPr="00234B97" w:rsidRDefault="004D16FF"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pgSz w:w="11900" w:h="16840"/>
      <w:pgMar w:top="1134" w:right="1134" w:bottom="1418" w:left="1134" w:header="709" w:footer="70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28E41D" w16cid:durableId="25CA1515"/>
  <w16cid:commentId w16cid:paraId="48C42279" w16cid:durableId="25CA17A9"/>
  <w16cid:commentId w16cid:paraId="5B3D4AFD" w16cid:durableId="25CA1516"/>
  <w16cid:commentId w16cid:paraId="5972AB4B" w16cid:durableId="25CA189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156" w:rsidRDefault="009E4156">
      <w:pPr>
        <w:spacing w:after="0" w:line="240" w:lineRule="auto"/>
      </w:pPr>
      <w:r>
        <w:separator/>
      </w:r>
    </w:p>
  </w:endnote>
  <w:endnote w:type="continuationSeparator" w:id="0">
    <w:p w:rsidR="009E4156" w:rsidRDefault="009E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156" w:rsidRDefault="009E4156">
      <w:pPr>
        <w:spacing w:after="0" w:line="240" w:lineRule="auto"/>
      </w:pPr>
      <w:r>
        <w:separator/>
      </w:r>
    </w:p>
  </w:footnote>
  <w:footnote w:type="continuationSeparator" w:id="0">
    <w:p w:rsidR="009E4156" w:rsidRDefault="009E4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95" w:rsidRPr="00526970" w:rsidRDefault="00CE4B95" w:rsidP="00F02206">
    <w:pPr>
      <w:pStyle w:val="Intestazione"/>
      <w:spacing w:after="160"/>
      <w:jc w:val="center"/>
      <w:rPr>
        <w:b/>
        <w:color w:val="FF0000"/>
        <w:sz w:val="36"/>
        <w:szCs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9500E3"/>
    <w:multiLevelType w:val="hybridMultilevel"/>
    <w:tmpl w:val="6B88BF60"/>
    <w:lvl w:ilvl="0" w:tplc="AD087EB6">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CDC63F2"/>
    <w:multiLevelType w:val="hybridMultilevel"/>
    <w:tmpl w:val="F53A4D0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3" w15:restartNumberingAfterBreak="0">
    <w:nsid w:val="7F6D567A"/>
    <w:multiLevelType w:val="hybridMultilevel"/>
    <w:tmpl w:val="7DE8B6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
  </w:num>
  <w:num w:numId="4">
    <w:abstractNumId w:val="12"/>
  </w:num>
  <w:num w:numId="5">
    <w:abstractNumId w:val="14"/>
  </w:num>
  <w:num w:numId="6">
    <w:abstractNumId w:val="39"/>
  </w:num>
  <w:num w:numId="7">
    <w:abstractNumId w:val="21"/>
  </w:num>
  <w:num w:numId="8">
    <w:abstractNumId w:val="2"/>
  </w:num>
  <w:num w:numId="9">
    <w:abstractNumId w:val="32"/>
  </w:num>
  <w:num w:numId="10">
    <w:abstractNumId w:val="6"/>
  </w:num>
  <w:num w:numId="11">
    <w:abstractNumId w:val="35"/>
  </w:num>
  <w:num w:numId="12">
    <w:abstractNumId w:val="0"/>
  </w:num>
  <w:num w:numId="13">
    <w:abstractNumId w:val="9"/>
  </w:num>
  <w:num w:numId="14">
    <w:abstractNumId w:val="26"/>
  </w:num>
  <w:num w:numId="15">
    <w:abstractNumId w:val="29"/>
  </w:num>
  <w:num w:numId="16">
    <w:abstractNumId w:val="11"/>
  </w:num>
  <w:num w:numId="17">
    <w:abstractNumId w:val="5"/>
  </w:num>
  <w:num w:numId="18">
    <w:abstractNumId w:val="15"/>
  </w:num>
  <w:num w:numId="19">
    <w:abstractNumId w:val="25"/>
  </w:num>
  <w:num w:numId="20">
    <w:abstractNumId w:val="4"/>
  </w:num>
  <w:num w:numId="21">
    <w:abstractNumId w:val="28"/>
  </w:num>
  <w:num w:numId="22">
    <w:abstractNumId w:val="18"/>
  </w:num>
  <w:num w:numId="23">
    <w:abstractNumId w:val="20"/>
  </w:num>
  <w:num w:numId="24">
    <w:abstractNumId w:val="24"/>
  </w:num>
  <w:num w:numId="25">
    <w:abstractNumId w:val="1"/>
  </w:num>
  <w:num w:numId="26">
    <w:abstractNumId w:val="23"/>
  </w:num>
  <w:num w:numId="27">
    <w:abstractNumId w:val="8"/>
  </w:num>
  <w:num w:numId="28">
    <w:abstractNumId w:val="34"/>
  </w:num>
  <w:num w:numId="29">
    <w:abstractNumId w:val="27"/>
  </w:num>
  <w:num w:numId="30">
    <w:abstractNumId w:val="10"/>
  </w:num>
  <w:num w:numId="31">
    <w:abstractNumId w:val="19"/>
  </w:num>
  <w:num w:numId="32">
    <w:abstractNumId w:val="40"/>
  </w:num>
  <w:num w:numId="33">
    <w:abstractNumId w:val="37"/>
  </w:num>
  <w:num w:numId="34">
    <w:abstractNumId w:val="36"/>
  </w:num>
  <w:num w:numId="35">
    <w:abstractNumId w:val="38"/>
  </w:num>
  <w:num w:numId="36">
    <w:abstractNumId w:val="31"/>
  </w:num>
  <w:num w:numId="37">
    <w:abstractNumId w:val="33"/>
  </w:num>
  <w:num w:numId="38">
    <w:abstractNumId w:val="30"/>
  </w:num>
  <w:num w:numId="39">
    <w:abstractNumId w:val="22"/>
  </w:num>
  <w:num w:numId="40">
    <w:abstractNumId w:val="17"/>
  </w:num>
  <w:num w:numId="41">
    <w:abstractNumId w:val="13"/>
  </w:num>
  <w:num w:numId="42">
    <w:abstractNumId w:val="17"/>
  </w:num>
  <w:num w:numId="43">
    <w:abstractNumId w:val="41"/>
  </w:num>
  <w:num w:numId="44">
    <w:abstractNumId w:val="43"/>
  </w:num>
  <w:num w:numId="45">
    <w:abstractNumId w:val="38"/>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2B"/>
    <w:rsid w:val="000022A7"/>
    <w:rsid w:val="00002300"/>
    <w:rsid w:val="0000244C"/>
    <w:rsid w:val="000027F8"/>
    <w:rsid w:val="00004BE3"/>
    <w:rsid w:val="00004BF7"/>
    <w:rsid w:val="00004CA3"/>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1CD6"/>
    <w:rsid w:val="00032112"/>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719"/>
    <w:rsid w:val="00041D6E"/>
    <w:rsid w:val="000421A9"/>
    <w:rsid w:val="00042E7E"/>
    <w:rsid w:val="00043C39"/>
    <w:rsid w:val="00044665"/>
    <w:rsid w:val="00044ABB"/>
    <w:rsid w:val="00044EB9"/>
    <w:rsid w:val="000453E7"/>
    <w:rsid w:val="00046B65"/>
    <w:rsid w:val="0005001A"/>
    <w:rsid w:val="00051038"/>
    <w:rsid w:val="0005206B"/>
    <w:rsid w:val="00052578"/>
    <w:rsid w:val="000531D1"/>
    <w:rsid w:val="000542D3"/>
    <w:rsid w:val="0005433B"/>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C95"/>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538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CF"/>
    <w:rsid w:val="000B242E"/>
    <w:rsid w:val="000B2449"/>
    <w:rsid w:val="000B25F9"/>
    <w:rsid w:val="000B3CDF"/>
    <w:rsid w:val="000B53A4"/>
    <w:rsid w:val="000B5AC9"/>
    <w:rsid w:val="000B6238"/>
    <w:rsid w:val="000B68AC"/>
    <w:rsid w:val="000C07AC"/>
    <w:rsid w:val="000C0A45"/>
    <w:rsid w:val="000C0B9A"/>
    <w:rsid w:val="000C22FE"/>
    <w:rsid w:val="000C3C3C"/>
    <w:rsid w:val="000C63F8"/>
    <w:rsid w:val="000C6B69"/>
    <w:rsid w:val="000C7105"/>
    <w:rsid w:val="000C789B"/>
    <w:rsid w:val="000C7A89"/>
    <w:rsid w:val="000D0625"/>
    <w:rsid w:val="000D0980"/>
    <w:rsid w:val="000D1250"/>
    <w:rsid w:val="000D1503"/>
    <w:rsid w:val="000D1F5C"/>
    <w:rsid w:val="000D24D7"/>
    <w:rsid w:val="000D2A90"/>
    <w:rsid w:val="000D2CAA"/>
    <w:rsid w:val="000D3B36"/>
    <w:rsid w:val="000D40CB"/>
    <w:rsid w:val="000D4370"/>
    <w:rsid w:val="000D5878"/>
    <w:rsid w:val="000D5B61"/>
    <w:rsid w:val="000D5C61"/>
    <w:rsid w:val="000D75CD"/>
    <w:rsid w:val="000D7645"/>
    <w:rsid w:val="000D7A69"/>
    <w:rsid w:val="000D7DCE"/>
    <w:rsid w:val="000D7E45"/>
    <w:rsid w:val="000D7EE3"/>
    <w:rsid w:val="000E0BCB"/>
    <w:rsid w:val="000E1A5A"/>
    <w:rsid w:val="000E1ABF"/>
    <w:rsid w:val="000E2D17"/>
    <w:rsid w:val="000E3472"/>
    <w:rsid w:val="000E476D"/>
    <w:rsid w:val="000E4A1A"/>
    <w:rsid w:val="000E5ABA"/>
    <w:rsid w:val="000E60EB"/>
    <w:rsid w:val="000E64D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0F6FE7"/>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10316"/>
    <w:rsid w:val="001104E4"/>
    <w:rsid w:val="00111ED5"/>
    <w:rsid w:val="00111F9A"/>
    <w:rsid w:val="00112E06"/>
    <w:rsid w:val="001130FB"/>
    <w:rsid w:val="00113933"/>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540D"/>
    <w:rsid w:val="00126938"/>
    <w:rsid w:val="00127096"/>
    <w:rsid w:val="00127307"/>
    <w:rsid w:val="00127892"/>
    <w:rsid w:val="001304B0"/>
    <w:rsid w:val="0013062E"/>
    <w:rsid w:val="0013077F"/>
    <w:rsid w:val="00130B71"/>
    <w:rsid w:val="00131B77"/>
    <w:rsid w:val="001324D5"/>
    <w:rsid w:val="00132966"/>
    <w:rsid w:val="00132BF8"/>
    <w:rsid w:val="001343AE"/>
    <w:rsid w:val="00134D05"/>
    <w:rsid w:val="00135006"/>
    <w:rsid w:val="00135D77"/>
    <w:rsid w:val="00135DBC"/>
    <w:rsid w:val="001367B8"/>
    <w:rsid w:val="0014031D"/>
    <w:rsid w:val="001410D3"/>
    <w:rsid w:val="0014184C"/>
    <w:rsid w:val="00141E72"/>
    <w:rsid w:val="00141F0A"/>
    <w:rsid w:val="00141F2F"/>
    <w:rsid w:val="00142677"/>
    <w:rsid w:val="001429C0"/>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32BC"/>
    <w:rsid w:val="001533C7"/>
    <w:rsid w:val="001533DC"/>
    <w:rsid w:val="001536E7"/>
    <w:rsid w:val="001546C9"/>
    <w:rsid w:val="00154EE5"/>
    <w:rsid w:val="00157CB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288F"/>
    <w:rsid w:val="00183B21"/>
    <w:rsid w:val="00184068"/>
    <w:rsid w:val="00184E2C"/>
    <w:rsid w:val="00185D5F"/>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1084"/>
    <w:rsid w:val="001B28CF"/>
    <w:rsid w:val="001B2CE3"/>
    <w:rsid w:val="001B3047"/>
    <w:rsid w:val="001B3764"/>
    <w:rsid w:val="001B3D34"/>
    <w:rsid w:val="001B3DE6"/>
    <w:rsid w:val="001B405E"/>
    <w:rsid w:val="001B4571"/>
    <w:rsid w:val="001B4670"/>
    <w:rsid w:val="001B4693"/>
    <w:rsid w:val="001B4F73"/>
    <w:rsid w:val="001B51CC"/>
    <w:rsid w:val="001B5BA0"/>
    <w:rsid w:val="001B71EA"/>
    <w:rsid w:val="001B723C"/>
    <w:rsid w:val="001B75D8"/>
    <w:rsid w:val="001C0240"/>
    <w:rsid w:val="001C0EBF"/>
    <w:rsid w:val="001C167C"/>
    <w:rsid w:val="001C3537"/>
    <w:rsid w:val="001C3D01"/>
    <w:rsid w:val="001C3E66"/>
    <w:rsid w:val="001C5BEA"/>
    <w:rsid w:val="001C6ED6"/>
    <w:rsid w:val="001C70B3"/>
    <w:rsid w:val="001C7E16"/>
    <w:rsid w:val="001D0234"/>
    <w:rsid w:val="001D0883"/>
    <w:rsid w:val="001D0943"/>
    <w:rsid w:val="001D0E98"/>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7E62"/>
    <w:rsid w:val="001D7FE5"/>
    <w:rsid w:val="001E1FB2"/>
    <w:rsid w:val="001E2196"/>
    <w:rsid w:val="001E2453"/>
    <w:rsid w:val="001E4724"/>
    <w:rsid w:val="001E481E"/>
    <w:rsid w:val="001E49E6"/>
    <w:rsid w:val="001E5259"/>
    <w:rsid w:val="001E5653"/>
    <w:rsid w:val="001E5977"/>
    <w:rsid w:val="001E6262"/>
    <w:rsid w:val="001E7AB9"/>
    <w:rsid w:val="001E7D8F"/>
    <w:rsid w:val="001F1DD8"/>
    <w:rsid w:val="001F1DEB"/>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2D0A"/>
    <w:rsid w:val="00204993"/>
    <w:rsid w:val="00204D79"/>
    <w:rsid w:val="00205B01"/>
    <w:rsid w:val="0020699D"/>
    <w:rsid w:val="00207EFE"/>
    <w:rsid w:val="00210040"/>
    <w:rsid w:val="00210AF9"/>
    <w:rsid w:val="00211923"/>
    <w:rsid w:val="00211CA6"/>
    <w:rsid w:val="002122FF"/>
    <w:rsid w:val="002127CE"/>
    <w:rsid w:val="002127D1"/>
    <w:rsid w:val="00212F66"/>
    <w:rsid w:val="00213464"/>
    <w:rsid w:val="00213DE0"/>
    <w:rsid w:val="00214B7C"/>
    <w:rsid w:val="0021525D"/>
    <w:rsid w:val="002158E7"/>
    <w:rsid w:val="00216973"/>
    <w:rsid w:val="00216F85"/>
    <w:rsid w:val="00217016"/>
    <w:rsid w:val="002171F6"/>
    <w:rsid w:val="00217A58"/>
    <w:rsid w:val="00217C57"/>
    <w:rsid w:val="002202C1"/>
    <w:rsid w:val="00220BCF"/>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3721D"/>
    <w:rsid w:val="00240195"/>
    <w:rsid w:val="00240E86"/>
    <w:rsid w:val="00241542"/>
    <w:rsid w:val="0024188A"/>
    <w:rsid w:val="002427A3"/>
    <w:rsid w:val="00242C77"/>
    <w:rsid w:val="00243949"/>
    <w:rsid w:val="0024483B"/>
    <w:rsid w:val="00244983"/>
    <w:rsid w:val="00245030"/>
    <w:rsid w:val="00245DC3"/>
    <w:rsid w:val="00246954"/>
    <w:rsid w:val="0024739E"/>
    <w:rsid w:val="00247670"/>
    <w:rsid w:val="00247BA3"/>
    <w:rsid w:val="00250437"/>
    <w:rsid w:val="002515D1"/>
    <w:rsid w:val="002517CA"/>
    <w:rsid w:val="002519DD"/>
    <w:rsid w:val="00251A96"/>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F80"/>
    <w:rsid w:val="002634F1"/>
    <w:rsid w:val="00263869"/>
    <w:rsid w:val="00263A36"/>
    <w:rsid w:val="00263BCF"/>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70AF"/>
    <w:rsid w:val="00297573"/>
    <w:rsid w:val="00297667"/>
    <w:rsid w:val="00297DEB"/>
    <w:rsid w:val="002A0FB9"/>
    <w:rsid w:val="002A1AA7"/>
    <w:rsid w:val="002A1EB7"/>
    <w:rsid w:val="002A225E"/>
    <w:rsid w:val="002A22E3"/>
    <w:rsid w:val="002A2549"/>
    <w:rsid w:val="002A2883"/>
    <w:rsid w:val="002A35BD"/>
    <w:rsid w:val="002A407A"/>
    <w:rsid w:val="002A4098"/>
    <w:rsid w:val="002A4857"/>
    <w:rsid w:val="002A50E7"/>
    <w:rsid w:val="002A53C2"/>
    <w:rsid w:val="002B0423"/>
    <w:rsid w:val="002B0ADF"/>
    <w:rsid w:val="002B20E2"/>
    <w:rsid w:val="002B2371"/>
    <w:rsid w:val="002B3E49"/>
    <w:rsid w:val="002B3EF3"/>
    <w:rsid w:val="002B4F83"/>
    <w:rsid w:val="002B50CC"/>
    <w:rsid w:val="002B53AA"/>
    <w:rsid w:val="002B5AE9"/>
    <w:rsid w:val="002B66F4"/>
    <w:rsid w:val="002B6B31"/>
    <w:rsid w:val="002B7A43"/>
    <w:rsid w:val="002C0EEE"/>
    <w:rsid w:val="002C162D"/>
    <w:rsid w:val="002C16AA"/>
    <w:rsid w:val="002C1743"/>
    <w:rsid w:val="002C181E"/>
    <w:rsid w:val="002C19C1"/>
    <w:rsid w:val="002C1E12"/>
    <w:rsid w:val="002C23F8"/>
    <w:rsid w:val="002C2AF9"/>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F74"/>
    <w:rsid w:val="002D5592"/>
    <w:rsid w:val="002D66EF"/>
    <w:rsid w:val="002D7021"/>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1A2D"/>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AA0"/>
    <w:rsid w:val="00304225"/>
    <w:rsid w:val="00304954"/>
    <w:rsid w:val="00305C43"/>
    <w:rsid w:val="00305D40"/>
    <w:rsid w:val="00305FD6"/>
    <w:rsid w:val="00306478"/>
    <w:rsid w:val="00306641"/>
    <w:rsid w:val="003068D2"/>
    <w:rsid w:val="003106B8"/>
    <w:rsid w:val="00310997"/>
    <w:rsid w:val="00312170"/>
    <w:rsid w:val="0031239E"/>
    <w:rsid w:val="00312A53"/>
    <w:rsid w:val="00312D49"/>
    <w:rsid w:val="00312E2D"/>
    <w:rsid w:val="00312EB1"/>
    <w:rsid w:val="003148FC"/>
    <w:rsid w:val="003159C9"/>
    <w:rsid w:val="00315A37"/>
    <w:rsid w:val="00315CB0"/>
    <w:rsid w:val="003163EB"/>
    <w:rsid w:val="00317E3D"/>
    <w:rsid w:val="00320D4F"/>
    <w:rsid w:val="00320D92"/>
    <w:rsid w:val="00321CCA"/>
    <w:rsid w:val="00321D29"/>
    <w:rsid w:val="00322631"/>
    <w:rsid w:val="00322C39"/>
    <w:rsid w:val="0032323D"/>
    <w:rsid w:val="003245C8"/>
    <w:rsid w:val="00324695"/>
    <w:rsid w:val="00325B76"/>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1FC"/>
    <w:rsid w:val="003628BF"/>
    <w:rsid w:val="00362CAB"/>
    <w:rsid w:val="00362FDB"/>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26E1"/>
    <w:rsid w:val="003727A7"/>
    <w:rsid w:val="00372AFA"/>
    <w:rsid w:val="0037304B"/>
    <w:rsid w:val="00373CA2"/>
    <w:rsid w:val="0037430E"/>
    <w:rsid w:val="003744DF"/>
    <w:rsid w:val="003747F1"/>
    <w:rsid w:val="00376A63"/>
    <w:rsid w:val="00376B57"/>
    <w:rsid w:val="00376B91"/>
    <w:rsid w:val="00376E88"/>
    <w:rsid w:val="00382074"/>
    <w:rsid w:val="0038374F"/>
    <w:rsid w:val="00383A18"/>
    <w:rsid w:val="00383FBD"/>
    <w:rsid w:val="00384423"/>
    <w:rsid w:val="00385025"/>
    <w:rsid w:val="00385142"/>
    <w:rsid w:val="00385C48"/>
    <w:rsid w:val="003874BF"/>
    <w:rsid w:val="00387D4E"/>
    <w:rsid w:val="003908B8"/>
    <w:rsid w:val="00390F8F"/>
    <w:rsid w:val="00391BD8"/>
    <w:rsid w:val="00391D3F"/>
    <w:rsid w:val="003920FB"/>
    <w:rsid w:val="0039246E"/>
    <w:rsid w:val="003924CD"/>
    <w:rsid w:val="003932D6"/>
    <w:rsid w:val="00393652"/>
    <w:rsid w:val="00393F63"/>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5301"/>
    <w:rsid w:val="003A5C42"/>
    <w:rsid w:val="003A60C1"/>
    <w:rsid w:val="003A62BF"/>
    <w:rsid w:val="003A742F"/>
    <w:rsid w:val="003B0176"/>
    <w:rsid w:val="003B0299"/>
    <w:rsid w:val="003B02F3"/>
    <w:rsid w:val="003B0352"/>
    <w:rsid w:val="003B037E"/>
    <w:rsid w:val="003B0622"/>
    <w:rsid w:val="003B0F67"/>
    <w:rsid w:val="003B19AE"/>
    <w:rsid w:val="003B3D1D"/>
    <w:rsid w:val="003B3D8B"/>
    <w:rsid w:val="003B4640"/>
    <w:rsid w:val="003B53A4"/>
    <w:rsid w:val="003B5F29"/>
    <w:rsid w:val="003B632B"/>
    <w:rsid w:val="003B6B24"/>
    <w:rsid w:val="003B6F85"/>
    <w:rsid w:val="003B720F"/>
    <w:rsid w:val="003C0BF8"/>
    <w:rsid w:val="003C0C5D"/>
    <w:rsid w:val="003C1341"/>
    <w:rsid w:val="003C17AF"/>
    <w:rsid w:val="003C186F"/>
    <w:rsid w:val="003C1BE8"/>
    <w:rsid w:val="003C1DF7"/>
    <w:rsid w:val="003C2801"/>
    <w:rsid w:val="003C3E71"/>
    <w:rsid w:val="003C47EA"/>
    <w:rsid w:val="003C4E72"/>
    <w:rsid w:val="003C5AEF"/>
    <w:rsid w:val="003C620D"/>
    <w:rsid w:val="003C69BE"/>
    <w:rsid w:val="003C6C3F"/>
    <w:rsid w:val="003C724A"/>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987"/>
    <w:rsid w:val="003F5167"/>
    <w:rsid w:val="003F534E"/>
    <w:rsid w:val="003F5612"/>
    <w:rsid w:val="003F6A5F"/>
    <w:rsid w:val="003F6A89"/>
    <w:rsid w:val="003F6C05"/>
    <w:rsid w:val="003F7223"/>
    <w:rsid w:val="003F7469"/>
    <w:rsid w:val="003F7493"/>
    <w:rsid w:val="00400FA8"/>
    <w:rsid w:val="00401C4B"/>
    <w:rsid w:val="00402E63"/>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6CA"/>
    <w:rsid w:val="00415795"/>
    <w:rsid w:val="004167BB"/>
    <w:rsid w:val="00417326"/>
    <w:rsid w:val="00417D75"/>
    <w:rsid w:val="00420736"/>
    <w:rsid w:val="00421389"/>
    <w:rsid w:val="0042267C"/>
    <w:rsid w:val="0042340E"/>
    <w:rsid w:val="004235BB"/>
    <w:rsid w:val="004243B2"/>
    <w:rsid w:val="00426290"/>
    <w:rsid w:val="00431177"/>
    <w:rsid w:val="004315A5"/>
    <w:rsid w:val="00431BFD"/>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75"/>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21B7"/>
    <w:rsid w:val="004824DB"/>
    <w:rsid w:val="0048254D"/>
    <w:rsid w:val="0048276B"/>
    <w:rsid w:val="00482785"/>
    <w:rsid w:val="0048371B"/>
    <w:rsid w:val="00483722"/>
    <w:rsid w:val="00483C7A"/>
    <w:rsid w:val="00483FB7"/>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B51"/>
    <w:rsid w:val="004A7CFD"/>
    <w:rsid w:val="004A7D7C"/>
    <w:rsid w:val="004B0168"/>
    <w:rsid w:val="004B0AA5"/>
    <w:rsid w:val="004B102C"/>
    <w:rsid w:val="004B1E0F"/>
    <w:rsid w:val="004B248A"/>
    <w:rsid w:val="004B316D"/>
    <w:rsid w:val="004B3E0A"/>
    <w:rsid w:val="004B3EBB"/>
    <w:rsid w:val="004B512D"/>
    <w:rsid w:val="004B5CB6"/>
    <w:rsid w:val="004B6438"/>
    <w:rsid w:val="004B6A39"/>
    <w:rsid w:val="004B6B3C"/>
    <w:rsid w:val="004B6DC2"/>
    <w:rsid w:val="004B7A79"/>
    <w:rsid w:val="004C0E6D"/>
    <w:rsid w:val="004C1116"/>
    <w:rsid w:val="004C18D7"/>
    <w:rsid w:val="004C3357"/>
    <w:rsid w:val="004C465D"/>
    <w:rsid w:val="004C62E3"/>
    <w:rsid w:val="004C70BD"/>
    <w:rsid w:val="004C75FC"/>
    <w:rsid w:val="004D0234"/>
    <w:rsid w:val="004D0247"/>
    <w:rsid w:val="004D0801"/>
    <w:rsid w:val="004D090A"/>
    <w:rsid w:val="004D0D54"/>
    <w:rsid w:val="004D0E27"/>
    <w:rsid w:val="004D0E65"/>
    <w:rsid w:val="004D0E8A"/>
    <w:rsid w:val="004D16FF"/>
    <w:rsid w:val="004D1B4B"/>
    <w:rsid w:val="004D1C78"/>
    <w:rsid w:val="004D26F0"/>
    <w:rsid w:val="004D2A97"/>
    <w:rsid w:val="004D2E6B"/>
    <w:rsid w:val="004D39E9"/>
    <w:rsid w:val="004D3C41"/>
    <w:rsid w:val="004D3CD7"/>
    <w:rsid w:val="004D3DFD"/>
    <w:rsid w:val="004D49EC"/>
    <w:rsid w:val="004D52D6"/>
    <w:rsid w:val="004D5525"/>
    <w:rsid w:val="004D562D"/>
    <w:rsid w:val="004D5CB3"/>
    <w:rsid w:val="004D5CBF"/>
    <w:rsid w:val="004D7ABD"/>
    <w:rsid w:val="004D7E87"/>
    <w:rsid w:val="004E0DD7"/>
    <w:rsid w:val="004E117D"/>
    <w:rsid w:val="004E18F8"/>
    <w:rsid w:val="004E220C"/>
    <w:rsid w:val="004E289D"/>
    <w:rsid w:val="004E3F56"/>
    <w:rsid w:val="004E3F72"/>
    <w:rsid w:val="004E506C"/>
    <w:rsid w:val="004E555F"/>
    <w:rsid w:val="004E6084"/>
    <w:rsid w:val="004E6C61"/>
    <w:rsid w:val="004F0669"/>
    <w:rsid w:val="004F07A7"/>
    <w:rsid w:val="004F17AF"/>
    <w:rsid w:val="004F2030"/>
    <w:rsid w:val="004F2DBC"/>
    <w:rsid w:val="004F2DDA"/>
    <w:rsid w:val="004F2E6B"/>
    <w:rsid w:val="004F4849"/>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BF3"/>
    <w:rsid w:val="00507572"/>
    <w:rsid w:val="005110E4"/>
    <w:rsid w:val="00512377"/>
    <w:rsid w:val="00513024"/>
    <w:rsid w:val="00514887"/>
    <w:rsid w:val="00516F1E"/>
    <w:rsid w:val="00517884"/>
    <w:rsid w:val="005200FB"/>
    <w:rsid w:val="005206D7"/>
    <w:rsid w:val="005207B1"/>
    <w:rsid w:val="00520CC0"/>
    <w:rsid w:val="00521427"/>
    <w:rsid w:val="00521485"/>
    <w:rsid w:val="005216C3"/>
    <w:rsid w:val="005239E5"/>
    <w:rsid w:val="005265EC"/>
    <w:rsid w:val="005268E4"/>
    <w:rsid w:val="00526970"/>
    <w:rsid w:val="00526D10"/>
    <w:rsid w:val="00526D94"/>
    <w:rsid w:val="00527260"/>
    <w:rsid w:val="005278CA"/>
    <w:rsid w:val="00527AB3"/>
    <w:rsid w:val="0053071C"/>
    <w:rsid w:val="00530B88"/>
    <w:rsid w:val="00530CC1"/>
    <w:rsid w:val="00531712"/>
    <w:rsid w:val="00531EFE"/>
    <w:rsid w:val="005329DE"/>
    <w:rsid w:val="00532DB6"/>
    <w:rsid w:val="0053386F"/>
    <w:rsid w:val="005338CD"/>
    <w:rsid w:val="00533987"/>
    <w:rsid w:val="00533B1C"/>
    <w:rsid w:val="00533BE8"/>
    <w:rsid w:val="005354A9"/>
    <w:rsid w:val="0053578B"/>
    <w:rsid w:val="00535B9E"/>
    <w:rsid w:val="0053669F"/>
    <w:rsid w:val="00536726"/>
    <w:rsid w:val="00536DC0"/>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C90"/>
    <w:rsid w:val="005521C0"/>
    <w:rsid w:val="00552753"/>
    <w:rsid w:val="00553823"/>
    <w:rsid w:val="00553D22"/>
    <w:rsid w:val="00553FF4"/>
    <w:rsid w:val="005549FE"/>
    <w:rsid w:val="00554C0B"/>
    <w:rsid w:val="00554F5B"/>
    <w:rsid w:val="00555BDA"/>
    <w:rsid w:val="00555D82"/>
    <w:rsid w:val="005568AB"/>
    <w:rsid w:val="00557000"/>
    <w:rsid w:val="005574C5"/>
    <w:rsid w:val="0055798A"/>
    <w:rsid w:val="00557FA5"/>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677"/>
    <w:rsid w:val="0057319F"/>
    <w:rsid w:val="00573388"/>
    <w:rsid w:val="0057352F"/>
    <w:rsid w:val="005736A8"/>
    <w:rsid w:val="00573A36"/>
    <w:rsid w:val="00573CC2"/>
    <w:rsid w:val="00576364"/>
    <w:rsid w:val="00576516"/>
    <w:rsid w:val="005776BB"/>
    <w:rsid w:val="00580465"/>
    <w:rsid w:val="00580D28"/>
    <w:rsid w:val="00581005"/>
    <w:rsid w:val="00582285"/>
    <w:rsid w:val="00582BAE"/>
    <w:rsid w:val="00583951"/>
    <w:rsid w:val="00584564"/>
    <w:rsid w:val="00584F59"/>
    <w:rsid w:val="0058585F"/>
    <w:rsid w:val="00585B70"/>
    <w:rsid w:val="005862A2"/>
    <w:rsid w:val="00586DA6"/>
    <w:rsid w:val="0058746E"/>
    <w:rsid w:val="00587698"/>
    <w:rsid w:val="0058785D"/>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4857"/>
    <w:rsid w:val="005A52DD"/>
    <w:rsid w:val="005A57C5"/>
    <w:rsid w:val="005A6770"/>
    <w:rsid w:val="005A735E"/>
    <w:rsid w:val="005A755B"/>
    <w:rsid w:val="005A7880"/>
    <w:rsid w:val="005B103D"/>
    <w:rsid w:val="005B129C"/>
    <w:rsid w:val="005B13D3"/>
    <w:rsid w:val="005B1AF1"/>
    <w:rsid w:val="005B3275"/>
    <w:rsid w:val="005B3D56"/>
    <w:rsid w:val="005B44BB"/>
    <w:rsid w:val="005B4786"/>
    <w:rsid w:val="005B48EF"/>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18"/>
    <w:rsid w:val="005D63FA"/>
    <w:rsid w:val="005D750D"/>
    <w:rsid w:val="005E0753"/>
    <w:rsid w:val="005E0815"/>
    <w:rsid w:val="005E0EA1"/>
    <w:rsid w:val="005E19B1"/>
    <w:rsid w:val="005E1B40"/>
    <w:rsid w:val="005E236E"/>
    <w:rsid w:val="005E23F3"/>
    <w:rsid w:val="005E26E5"/>
    <w:rsid w:val="005E375E"/>
    <w:rsid w:val="005E38B7"/>
    <w:rsid w:val="005E3BF0"/>
    <w:rsid w:val="005E3CC5"/>
    <w:rsid w:val="005E411F"/>
    <w:rsid w:val="005E4188"/>
    <w:rsid w:val="005E5FFA"/>
    <w:rsid w:val="005E7D0A"/>
    <w:rsid w:val="005E7ECA"/>
    <w:rsid w:val="005F08A7"/>
    <w:rsid w:val="005F14E1"/>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1177"/>
    <w:rsid w:val="006026F8"/>
    <w:rsid w:val="00602E7A"/>
    <w:rsid w:val="00603956"/>
    <w:rsid w:val="006042E7"/>
    <w:rsid w:val="006049EE"/>
    <w:rsid w:val="00605F09"/>
    <w:rsid w:val="0060713D"/>
    <w:rsid w:val="00607BE6"/>
    <w:rsid w:val="00610E6C"/>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75A"/>
    <w:rsid w:val="00617672"/>
    <w:rsid w:val="006176B8"/>
    <w:rsid w:val="006179CD"/>
    <w:rsid w:val="00617ADC"/>
    <w:rsid w:val="00617D14"/>
    <w:rsid w:val="0062012B"/>
    <w:rsid w:val="006204CC"/>
    <w:rsid w:val="006222EF"/>
    <w:rsid w:val="00622991"/>
    <w:rsid w:val="00623175"/>
    <w:rsid w:val="006236A4"/>
    <w:rsid w:val="006237F8"/>
    <w:rsid w:val="00624679"/>
    <w:rsid w:val="00624898"/>
    <w:rsid w:val="00624DFE"/>
    <w:rsid w:val="00626103"/>
    <w:rsid w:val="0062682F"/>
    <w:rsid w:val="00630FF7"/>
    <w:rsid w:val="0063151F"/>
    <w:rsid w:val="00631870"/>
    <w:rsid w:val="00631DF0"/>
    <w:rsid w:val="00632644"/>
    <w:rsid w:val="006326CC"/>
    <w:rsid w:val="00632798"/>
    <w:rsid w:val="00632B7B"/>
    <w:rsid w:val="00632CB0"/>
    <w:rsid w:val="00632D66"/>
    <w:rsid w:val="00634030"/>
    <w:rsid w:val="00634433"/>
    <w:rsid w:val="00634936"/>
    <w:rsid w:val="006362D6"/>
    <w:rsid w:val="006369E2"/>
    <w:rsid w:val="00636A4A"/>
    <w:rsid w:val="00636D6F"/>
    <w:rsid w:val="006370BE"/>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D4"/>
    <w:rsid w:val="00653636"/>
    <w:rsid w:val="0065366C"/>
    <w:rsid w:val="006537D6"/>
    <w:rsid w:val="00653A32"/>
    <w:rsid w:val="00655803"/>
    <w:rsid w:val="00655A1E"/>
    <w:rsid w:val="00656118"/>
    <w:rsid w:val="00656F03"/>
    <w:rsid w:val="00657CF1"/>
    <w:rsid w:val="006603AC"/>
    <w:rsid w:val="006608D4"/>
    <w:rsid w:val="00660954"/>
    <w:rsid w:val="00662466"/>
    <w:rsid w:val="006625AC"/>
    <w:rsid w:val="0066298A"/>
    <w:rsid w:val="00662C85"/>
    <w:rsid w:val="006632AC"/>
    <w:rsid w:val="00663407"/>
    <w:rsid w:val="00663B72"/>
    <w:rsid w:val="00663DCF"/>
    <w:rsid w:val="006642BB"/>
    <w:rsid w:val="006642F5"/>
    <w:rsid w:val="00664A58"/>
    <w:rsid w:val="00664F82"/>
    <w:rsid w:val="006662C5"/>
    <w:rsid w:val="006666A9"/>
    <w:rsid w:val="00666867"/>
    <w:rsid w:val="00666A47"/>
    <w:rsid w:val="00670CBD"/>
    <w:rsid w:val="00672BE3"/>
    <w:rsid w:val="00672C34"/>
    <w:rsid w:val="00672F5A"/>
    <w:rsid w:val="0067368F"/>
    <w:rsid w:val="00673E96"/>
    <w:rsid w:val="006743B7"/>
    <w:rsid w:val="0067511C"/>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BF3"/>
    <w:rsid w:val="00694315"/>
    <w:rsid w:val="00694ABC"/>
    <w:rsid w:val="00694C16"/>
    <w:rsid w:val="00694C54"/>
    <w:rsid w:val="00694C8E"/>
    <w:rsid w:val="00695005"/>
    <w:rsid w:val="0069612A"/>
    <w:rsid w:val="00696746"/>
    <w:rsid w:val="006A03AB"/>
    <w:rsid w:val="006A145D"/>
    <w:rsid w:val="006A164A"/>
    <w:rsid w:val="006A2040"/>
    <w:rsid w:val="006A204B"/>
    <w:rsid w:val="006A22DD"/>
    <w:rsid w:val="006A305E"/>
    <w:rsid w:val="006A37A7"/>
    <w:rsid w:val="006A3F3C"/>
    <w:rsid w:val="006A4C22"/>
    <w:rsid w:val="006A5D49"/>
    <w:rsid w:val="006A7099"/>
    <w:rsid w:val="006A7F61"/>
    <w:rsid w:val="006B0B88"/>
    <w:rsid w:val="006B0D74"/>
    <w:rsid w:val="006B1CCB"/>
    <w:rsid w:val="006B344A"/>
    <w:rsid w:val="006B365C"/>
    <w:rsid w:val="006B3B7F"/>
    <w:rsid w:val="006B627D"/>
    <w:rsid w:val="006B6E29"/>
    <w:rsid w:val="006B7129"/>
    <w:rsid w:val="006B75AC"/>
    <w:rsid w:val="006B77FA"/>
    <w:rsid w:val="006C08D3"/>
    <w:rsid w:val="006C142C"/>
    <w:rsid w:val="006C147D"/>
    <w:rsid w:val="006C178A"/>
    <w:rsid w:val="006C1992"/>
    <w:rsid w:val="006C1AB3"/>
    <w:rsid w:val="006C2126"/>
    <w:rsid w:val="006C2782"/>
    <w:rsid w:val="006C2BF6"/>
    <w:rsid w:val="006C2FDF"/>
    <w:rsid w:val="006C322E"/>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E18"/>
    <w:rsid w:val="006D4FE3"/>
    <w:rsid w:val="006D60A3"/>
    <w:rsid w:val="006D67CC"/>
    <w:rsid w:val="006D6A4B"/>
    <w:rsid w:val="006D749A"/>
    <w:rsid w:val="006D7CA8"/>
    <w:rsid w:val="006E1DA9"/>
    <w:rsid w:val="006E1DF1"/>
    <w:rsid w:val="006E201D"/>
    <w:rsid w:val="006E2AC2"/>
    <w:rsid w:val="006E2BC3"/>
    <w:rsid w:val="006E2D9D"/>
    <w:rsid w:val="006E2DDC"/>
    <w:rsid w:val="006E2E12"/>
    <w:rsid w:val="006E34DC"/>
    <w:rsid w:val="006E4065"/>
    <w:rsid w:val="006E4555"/>
    <w:rsid w:val="006E4E9A"/>
    <w:rsid w:val="006E4EC3"/>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899"/>
    <w:rsid w:val="00710B07"/>
    <w:rsid w:val="007111CC"/>
    <w:rsid w:val="0071234A"/>
    <w:rsid w:val="0071252F"/>
    <w:rsid w:val="007126C0"/>
    <w:rsid w:val="0071308F"/>
    <w:rsid w:val="0071337F"/>
    <w:rsid w:val="007135C5"/>
    <w:rsid w:val="00713E29"/>
    <w:rsid w:val="007145F8"/>
    <w:rsid w:val="00714C4E"/>
    <w:rsid w:val="00715C90"/>
    <w:rsid w:val="00715CA2"/>
    <w:rsid w:val="00715F55"/>
    <w:rsid w:val="00716676"/>
    <w:rsid w:val="00716FA6"/>
    <w:rsid w:val="00717415"/>
    <w:rsid w:val="007176F0"/>
    <w:rsid w:val="0072059E"/>
    <w:rsid w:val="00720639"/>
    <w:rsid w:val="00721048"/>
    <w:rsid w:val="00721D49"/>
    <w:rsid w:val="007230A4"/>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D53"/>
    <w:rsid w:val="00746998"/>
    <w:rsid w:val="00746D21"/>
    <w:rsid w:val="0074714C"/>
    <w:rsid w:val="00747B61"/>
    <w:rsid w:val="00750B6D"/>
    <w:rsid w:val="0075139D"/>
    <w:rsid w:val="0075163A"/>
    <w:rsid w:val="00752906"/>
    <w:rsid w:val="00752DD8"/>
    <w:rsid w:val="00753317"/>
    <w:rsid w:val="00753DEA"/>
    <w:rsid w:val="00753E57"/>
    <w:rsid w:val="007553D7"/>
    <w:rsid w:val="00755427"/>
    <w:rsid w:val="00756894"/>
    <w:rsid w:val="007575B8"/>
    <w:rsid w:val="00757965"/>
    <w:rsid w:val="00760751"/>
    <w:rsid w:val="00760CD8"/>
    <w:rsid w:val="00760FA9"/>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C89"/>
    <w:rsid w:val="007672F4"/>
    <w:rsid w:val="007700E8"/>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6514"/>
    <w:rsid w:val="00796744"/>
    <w:rsid w:val="00796F41"/>
    <w:rsid w:val="00797493"/>
    <w:rsid w:val="00797AB7"/>
    <w:rsid w:val="007A01BF"/>
    <w:rsid w:val="007A0D05"/>
    <w:rsid w:val="007A2B0B"/>
    <w:rsid w:val="007A2D20"/>
    <w:rsid w:val="007A3E8B"/>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682B"/>
    <w:rsid w:val="007B6DAF"/>
    <w:rsid w:val="007C1124"/>
    <w:rsid w:val="007C11CB"/>
    <w:rsid w:val="007C1D27"/>
    <w:rsid w:val="007C27F4"/>
    <w:rsid w:val="007C4150"/>
    <w:rsid w:val="007C4320"/>
    <w:rsid w:val="007C4ED4"/>
    <w:rsid w:val="007C52BF"/>
    <w:rsid w:val="007C5375"/>
    <w:rsid w:val="007C5961"/>
    <w:rsid w:val="007C59CB"/>
    <w:rsid w:val="007C6181"/>
    <w:rsid w:val="007C6E4D"/>
    <w:rsid w:val="007C7E75"/>
    <w:rsid w:val="007D0AAB"/>
    <w:rsid w:val="007D101B"/>
    <w:rsid w:val="007D10E0"/>
    <w:rsid w:val="007D1633"/>
    <w:rsid w:val="007D1A69"/>
    <w:rsid w:val="007D2352"/>
    <w:rsid w:val="007D2680"/>
    <w:rsid w:val="007D29FD"/>
    <w:rsid w:val="007D2BB8"/>
    <w:rsid w:val="007D2CB1"/>
    <w:rsid w:val="007D3363"/>
    <w:rsid w:val="007D47A3"/>
    <w:rsid w:val="007D50FA"/>
    <w:rsid w:val="007D5A05"/>
    <w:rsid w:val="007D5F8C"/>
    <w:rsid w:val="007D70D0"/>
    <w:rsid w:val="007D79B3"/>
    <w:rsid w:val="007E07AE"/>
    <w:rsid w:val="007E0A27"/>
    <w:rsid w:val="007E1912"/>
    <w:rsid w:val="007E1E21"/>
    <w:rsid w:val="007E1F3B"/>
    <w:rsid w:val="007E2283"/>
    <w:rsid w:val="007E2586"/>
    <w:rsid w:val="007E2E6E"/>
    <w:rsid w:val="007E30D5"/>
    <w:rsid w:val="007E34D2"/>
    <w:rsid w:val="007E3BE5"/>
    <w:rsid w:val="007E3D23"/>
    <w:rsid w:val="007E445B"/>
    <w:rsid w:val="007E4710"/>
    <w:rsid w:val="007E4775"/>
    <w:rsid w:val="007E5D35"/>
    <w:rsid w:val="007E61A7"/>
    <w:rsid w:val="007E629F"/>
    <w:rsid w:val="007E79D7"/>
    <w:rsid w:val="007F1012"/>
    <w:rsid w:val="007F139F"/>
    <w:rsid w:val="007F1BAD"/>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43D"/>
    <w:rsid w:val="008049CF"/>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3F2"/>
    <w:rsid w:val="00816811"/>
    <w:rsid w:val="00821434"/>
    <w:rsid w:val="00822041"/>
    <w:rsid w:val="00822759"/>
    <w:rsid w:val="00824DF6"/>
    <w:rsid w:val="0082558A"/>
    <w:rsid w:val="00825C99"/>
    <w:rsid w:val="00827B8E"/>
    <w:rsid w:val="0083203D"/>
    <w:rsid w:val="008327BE"/>
    <w:rsid w:val="0083354D"/>
    <w:rsid w:val="00833A0A"/>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5A"/>
    <w:rsid w:val="008568BE"/>
    <w:rsid w:val="008574A0"/>
    <w:rsid w:val="00857AB0"/>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C62"/>
    <w:rsid w:val="00874C6D"/>
    <w:rsid w:val="00875B0E"/>
    <w:rsid w:val="00875CFB"/>
    <w:rsid w:val="00875ED5"/>
    <w:rsid w:val="00876CA0"/>
    <w:rsid w:val="00877372"/>
    <w:rsid w:val="008777DB"/>
    <w:rsid w:val="008807AE"/>
    <w:rsid w:val="0088094C"/>
    <w:rsid w:val="00880B59"/>
    <w:rsid w:val="00880B5D"/>
    <w:rsid w:val="00880C14"/>
    <w:rsid w:val="0088142A"/>
    <w:rsid w:val="00881788"/>
    <w:rsid w:val="008823A3"/>
    <w:rsid w:val="0088256B"/>
    <w:rsid w:val="008828C6"/>
    <w:rsid w:val="008828FB"/>
    <w:rsid w:val="00883915"/>
    <w:rsid w:val="00884B82"/>
    <w:rsid w:val="00885D48"/>
    <w:rsid w:val="00885FFC"/>
    <w:rsid w:val="008864FB"/>
    <w:rsid w:val="008866A2"/>
    <w:rsid w:val="008867EF"/>
    <w:rsid w:val="00887401"/>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8D1"/>
    <w:rsid w:val="008A6C7F"/>
    <w:rsid w:val="008A7927"/>
    <w:rsid w:val="008A7B7E"/>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21DE"/>
    <w:rsid w:val="008D22CA"/>
    <w:rsid w:val="008D2843"/>
    <w:rsid w:val="008D2E90"/>
    <w:rsid w:val="008D351A"/>
    <w:rsid w:val="008D395A"/>
    <w:rsid w:val="008D3CA5"/>
    <w:rsid w:val="008D5B8B"/>
    <w:rsid w:val="008D5FB8"/>
    <w:rsid w:val="008D6312"/>
    <w:rsid w:val="008D6B31"/>
    <w:rsid w:val="008D7A1D"/>
    <w:rsid w:val="008D7A28"/>
    <w:rsid w:val="008D7B00"/>
    <w:rsid w:val="008E0517"/>
    <w:rsid w:val="008E1A1B"/>
    <w:rsid w:val="008E1CD0"/>
    <w:rsid w:val="008E2689"/>
    <w:rsid w:val="008E304D"/>
    <w:rsid w:val="008E33A1"/>
    <w:rsid w:val="008E3E46"/>
    <w:rsid w:val="008E4092"/>
    <w:rsid w:val="008E4B12"/>
    <w:rsid w:val="008E68B1"/>
    <w:rsid w:val="008E7049"/>
    <w:rsid w:val="008F022F"/>
    <w:rsid w:val="008F039D"/>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4498"/>
    <w:rsid w:val="00905176"/>
    <w:rsid w:val="009057D9"/>
    <w:rsid w:val="00905FCC"/>
    <w:rsid w:val="009061FE"/>
    <w:rsid w:val="00906BDB"/>
    <w:rsid w:val="00906FB7"/>
    <w:rsid w:val="00907D11"/>
    <w:rsid w:val="00910EAA"/>
    <w:rsid w:val="00910F5F"/>
    <w:rsid w:val="00911864"/>
    <w:rsid w:val="00912454"/>
    <w:rsid w:val="009129F1"/>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30098"/>
    <w:rsid w:val="0093219B"/>
    <w:rsid w:val="009322D3"/>
    <w:rsid w:val="00932D7B"/>
    <w:rsid w:val="00932E57"/>
    <w:rsid w:val="009332D3"/>
    <w:rsid w:val="0093429F"/>
    <w:rsid w:val="009346D0"/>
    <w:rsid w:val="00935100"/>
    <w:rsid w:val="00935328"/>
    <w:rsid w:val="00935401"/>
    <w:rsid w:val="00936B4D"/>
    <w:rsid w:val="00936BBD"/>
    <w:rsid w:val="00936D85"/>
    <w:rsid w:val="00937D72"/>
    <w:rsid w:val="009403CB"/>
    <w:rsid w:val="00940E5B"/>
    <w:rsid w:val="00941445"/>
    <w:rsid w:val="009427FE"/>
    <w:rsid w:val="00942B70"/>
    <w:rsid w:val="00942F02"/>
    <w:rsid w:val="00944092"/>
    <w:rsid w:val="009450D2"/>
    <w:rsid w:val="009454D3"/>
    <w:rsid w:val="00945FC3"/>
    <w:rsid w:val="00946299"/>
    <w:rsid w:val="0094638F"/>
    <w:rsid w:val="009466A4"/>
    <w:rsid w:val="00946F06"/>
    <w:rsid w:val="00946F37"/>
    <w:rsid w:val="00947096"/>
    <w:rsid w:val="00947330"/>
    <w:rsid w:val="00947865"/>
    <w:rsid w:val="00947B4E"/>
    <w:rsid w:val="00950BAE"/>
    <w:rsid w:val="00951CAA"/>
    <w:rsid w:val="00952462"/>
    <w:rsid w:val="0095311B"/>
    <w:rsid w:val="00953D24"/>
    <w:rsid w:val="00955021"/>
    <w:rsid w:val="00955B70"/>
    <w:rsid w:val="009562A0"/>
    <w:rsid w:val="0095662D"/>
    <w:rsid w:val="00957769"/>
    <w:rsid w:val="00957E32"/>
    <w:rsid w:val="00957FD4"/>
    <w:rsid w:val="0096086B"/>
    <w:rsid w:val="00960BCD"/>
    <w:rsid w:val="00960D54"/>
    <w:rsid w:val="00960FEE"/>
    <w:rsid w:val="00961084"/>
    <w:rsid w:val="009615E6"/>
    <w:rsid w:val="0096190C"/>
    <w:rsid w:val="00961D34"/>
    <w:rsid w:val="00962F4F"/>
    <w:rsid w:val="009630F6"/>
    <w:rsid w:val="009643C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C2B"/>
    <w:rsid w:val="00984FFB"/>
    <w:rsid w:val="009851D2"/>
    <w:rsid w:val="00985E6B"/>
    <w:rsid w:val="00985F02"/>
    <w:rsid w:val="00986267"/>
    <w:rsid w:val="00986C25"/>
    <w:rsid w:val="0098713B"/>
    <w:rsid w:val="0098799E"/>
    <w:rsid w:val="00990312"/>
    <w:rsid w:val="009905F1"/>
    <w:rsid w:val="00990A83"/>
    <w:rsid w:val="00991024"/>
    <w:rsid w:val="00991D73"/>
    <w:rsid w:val="00991EFB"/>
    <w:rsid w:val="00992766"/>
    <w:rsid w:val="00992CF1"/>
    <w:rsid w:val="00993209"/>
    <w:rsid w:val="00993472"/>
    <w:rsid w:val="00993DFA"/>
    <w:rsid w:val="00993E22"/>
    <w:rsid w:val="009972A4"/>
    <w:rsid w:val="00997C03"/>
    <w:rsid w:val="00997E70"/>
    <w:rsid w:val="009A1C72"/>
    <w:rsid w:val="009A1DFB"/>
    <w:rsid w:val="009A1E61"/>
    <w:rsid w:val="009A2286"/>
    <w:rsid w:val="009A3154"/>
    <w:rsid w:val="009A341F"/>
    <w:rsid w:val="009A34E5"/>
    <w:rsid w:val="009A389D"/>
    <w:rsid w:val="009A3BFF"/>
    <w:rsid w:val="009A4229"/>
    <w:rsid w:val="009A4F94"/>
    <w:rsid w:val="009A505C"/>
    <w:rsid w:val="009A5F9F"/>
    <w:rsid w:val="009A647E"/>
    <w:rsid w:val="009A6621"/>
    <w:rsid w:val="009A79D2"/>
    <w:rsid w:val="009B067C"/>
    <w:rsid w:val="009B13A0"/>
    <w:rsid w:val="009B286F"/>
    <w:rsid w:val="009B2C8D"/>
    <w:rsid w:val="009B2F08"/>
    <w:rsid w:val="009B371B"/>
    <w:rsid w:val="009B4B46"/>
    <w:rsid w:val="009B563A"/>
    <w:rsid w:val="009B5DA0"/>
    <w:rsid w:val="009B6252"/>
    <w:rsid w:val="009B71E8"/>
    <w:rsid w:val="009B7CBC"/>
    <w:rsid w:val="009B7DFF"/>
    <w:rsid w:val="009C0E68"/>
    <w:rsid w:val="009C0F77"/>
    <w:rsid w:val="009C1CD8"/>
    <w:rsid w:val="009C32CB"/>
    <w:rsid w:val="009C36F3"/>
    <w:rsid w:val="009C41D8"/>
    <w:rsid w:val="009C44C5"/>
    <w:rsid w:val="009C468E"/>
    <w:rsid w:val="009C48C9"/>
    <w:rsid w:val="009C4904"/>
    <w:rsid w:val="009D052A"/>
    <w:rsid w:val="009D0C36"/>
    <w:rsid w:val="009D348E"/>
    <w:rsid w:val="009D4A03"/>
    <w:rsid w:val="009D560A"/>
    <w:rsid w:val="009D710A"/>
    <w:rsid w:val="009D726A"/>
    <w:rsid w:val="009D74BC"/>
    <w:rsid w:val="009E0CAE"/>
    <w:rsid w:val="009E269C"/>
    <w:rsid w:val="009E2750"/>
    <w:rsid w:val="009E27B4"/>
    <w:rsid w:val="009E40E3"/>
    <w:rsid w:val="009E4156"/>
    <w:rsid w:val="009E41F3"/>
    <w:rsid w:val="009E42F7"/>
    <w:rsid w:val="009E4CC9"/>
    <w:rsid w:val="009E53C6"/>
    <w:rsid w:val="009E6B01"/>
    <w:rsid w:val="009E6CF1"/>
    <w:rsid w:val="009E7E3F"/>
    <w:rsid w:val="009F18AC"/>
    <w:rsid w:val="009F31F4"/>
    <w:rsid w:val="009F33ED"/>
    <w:rsid w:val="009F4D03"/>
    <w:rsid w:val="009F5E07"/>
    <w:rsid w:val="009F5E5D"/>
    <w:rsid w:val="009F5E8D"/>
    <w:rsid w:val="009F73FD"/>
    <w:rsid w:val="009F764A"/>
    <w:rsid w:val="009F7725"/>
    <w:rsid w:val="009F77A2"/>
    <w:rsid w:val="00A00F54"/>
    <w:rsid w:val="00A014E1"/>
    <w:rsid w:val="00A01528"/>
    <w:rsid w:val="00A02B6E"/>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0BB"/>
    <w:rsid w:val="00A15244"/>
    <w:rsid w:val="00A153C5"/>
    <w:rsid w:val="00A15BB4"/>
    <w:rsid w:val="00A160F0"/>
    <w:rsid w:val="00A16EF0"/>
    <w:rsid w:val="00A1731E"/>
    <w:rsid w:val="00A17AAF"/>
    <w:rsid w:val="00A20EFA"/>
    <w:rsid w:val="00A22D49"/>
    <w:rsid w:val="00A230BC"/>
    <w:rsid w:val="00A23E61"/>
    <w:rsid w:val="00A24D7C"/>
    <w:rsid w:val="00A25280"/>
    <w:rsid w:val="00A25891"/>
    <w:rsid w:val="00A25D04"/>
    <w:rsid w:val="00A263C6"/>
    <w:rsid w:val="00A303CB"/>
    <w:rsid w:val="00A303F6"/>
    <w:rsid w:val="00A30596"/>
    <w:rsid w:val="00A3065C"/>
    <w:rsid w:val="00A314DD"/>
    <w:rsid w:val="00A321C6"/>
    <w:rsid w:val="00A32AD4"/>
    <w:rsid w:val="00A33529"/>
    <w:rsid w:val="00A33BE7"/>
    <w:rsid w:val="00A33F59"/>
    <w:rsid w:val="00A346DD"/>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611"/>
    <w:rsid w:val="00A46946"/>
    <w:rsid w:val="00A46CEC"/>
    <w:rsid w:val="00A46E1B"/>
    <w:rsid w:val="00A46F1D"/>
    <w:rsid w:val="00A47155"/>
    <w:rsid w:val="00A474BF"/>
    <w:rsid w:val="00A47542"/>
    <w:rsid w:val="00A50579"/>
    <w:rsid w:val="00A5060E"/>
    <w:rsid w:val="00A50F88"/>
    <w:rsid w:val="00A51B01"/>
    <w:rsid w:val="00A51CC9"/>
    <w:rsid w:val="00A525F7"/>
    <w:rsid w:val="00A52BDE"/>
    <w:rsid w:val="00A5313A"/>
    <w:rsid w:val="00A53C37"/>
    <w:rsid w:val="00A54479"/>
    <w:rsid w:val="00A553F8"/>
    <w:rsid w:val="00A554EF"/>
    <w:rsid w:val="00A5573C"/>
    <w:rsid w:val="00A5586E"/>
    <w:rsid w:val="00A564F2"/>
    <w:rsid w:val="00A56ABF"/>
    <w:rsid w:val="00A56D3A"/>
    <w:rsid w:val="00A576FD"/>
    <w:rsid w:val="00A5775A"/>
    <w:rsid w:val="00A5799D"/>
    <w:rsid w:val="00A57B1C"/>
    <w:rsid w:val="00A57B6F"/>
    <w:rsid w:val="00A60B78"/>
    <w:rsid w:val="00A60D85"/>
    <w:rsid w:val="00A61C84"/>
    <w:rsid w:val="00A64725"/>
    <w:rsid w:val="00A64FB3"/>
    <w:rsid w:val="00A65245"/>
    <w:rsid w:val="00A65462"/>
    <w:rsid w:val="00A6754C"/>
    <w:rsid w:val="00A700EF"/>
    <w:rsid w:val="00A701A5"/>
    <w:rsid w:val="00A702A7"/>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6D6"/>
    <w:rsid w:val="00A85051"/>
    <w:rsid w:val="00A864F4"/>
    <w:rsid w:val="00A86B88"/>
    <w:rsid w:val="00A86CE3"/>
    <w:rsid w:val="00A8700B"/>
    <w:rsid w:val="00A87AF2"/>
    <w:rsid w:val="00A90A08"/>
    <w:rsid w:val="00A914AC"/>
    <w:rsid w:val="00A91D76"/>
    <w:rsid w:val="00A94175"/>
    <w:rsid w:val="00A941CA"/>
    <w:rsid w:val="00A94F9E"/>
    <w:rsid w:val="00A951A4"/>
    <w:rsid w:val="00AA00FA"/>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C0A"/>
    <w:rsid w:val="00AC1587"/>
    <w:rsid w:val="00AC1851"/>
    <w:rsid w:val="00AC1A43"/>
    <w:rsid w:val="00AC1B85"/>
    <w:rsid w:val="00AC1C9A"/>
    <w:rsid w:val="00AC22AB"/>
    <w:rsid w:val="00AC2737"/>
    <w:rsid w:val="00AC2B7E"/>
    <w:rsid w:val="00AC2F43"/>
    <w:rsid w:val="00AC32E6"/>
    <w:rsid w:val="00AC32F3"/>
    <w:rsid w:val="00AC337B"/>
    <w:rsid w:val="00AC37CB"/>
    <w:rsid w:val="00AC451C"/>
    <w:rsid w:val="00AC516D"/>
    <w:rsid w:val="00AC5AEE"/>
    <w:rsid w:val="00AC62A8"/>
    <w:rsid w:val="00AD1E10"/>
    <w:rsid w:val="00AD2CBB"/>
    <w:rsid w:val="00AD2EF1"/>
    <w:rsid w:val="00AD4BCC"/>
    <w:rsid w:val="00AD4F13"/>
    <w:rsid w:val="00AD55CB"/>
    <w:rsid w:val="00AD55D2"/>
    <w:rsid w:val="00AD5A55"/>
    <w:rsid w:val="00AD5A92"/>
    <w:rsid w:val="00AD5B7E"/>
    <w:rsid w:val="00AD5CBB"/>
    <w:rsid w:val="00AD7144"/>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8E9"/>
    <w:rsid w:val="00AF0F8E"/>
    <w:rsid w:val="00AF1020"/>
    <w:rsid w:val="00AF12C3"/>
    <w:rsid w:val="00AF16A2"/>
    <w:rsid w:val="00AF20A2"/>
    <w:rsid w:val="00AF30DA"/>
    <w:rsid w:val="00AF3E34"/>
    <w:rsid w:val="00AF3F59"/>
    <w:rsid w:val="00AF47DF"/>
    <w:rsid w:val="00AF5D96"/>
    <w:rsid w:val="00AF6AB2"/>
    <w:rsid w:val="00AF6DD7"/>
    <w:rsid w:val="00AF7B6E"/>
    <w:rsid w:val="00B00C4C"/>
    <w:rsid w:val="00B00F13"/>
    <w:rsid w:val="00B018B9"/>
    <w:rsid w:val="00B01FE0"/>
    <w:rsid w:val="00B03E87"/>
    <w:rsid w:val="00B03FFD"/>
    <w:rsid w:val="00B0473F"/>
    <w:rsid w:val="00B04959"/>
    <w:rsid w:val="00B05121"/>
    <w:rsid w:val="00B063E2"/>
    <w:rsid w:val="00B06841"/>
    <w:rsid w:val="00B07331"/>
    <w:rsid w:val="00B07EF4"/>
    <w:rsid w:val="00B11517"/>
    <w:rsid w:val="00B12111"/>
    <w:rsid w:val="00B128AE"/>
    <w:rsid w:val="00B12B0E"/>
    <w:rsid w:val="00B12B5D"/>
    <w:rsid w:val="00B132E7"/>
    <w:rsid w:val="00B137B8"/>
    <w:rsid w:val="00B140FC"/>
    <w:rsid w:val="00B14D76"/>
    <w:rsid w:val="00B157BD"/>
    <w:rsid w:val="00B16FB1"/>
    <w:rsid w:val="00B17440"/>
    <w:rsid w:val="00B17F0A"/>
    <w:rsid w:val="00B24DAE"/>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469"/>
    <w:rsid w:val="00B34C35"/>
    <w:rsid w:val="00B34E04"/>
    <w:rsid w:val="00B34EC0"/>
    <w:rsid w:val="00B36516"/>
    <w:rsid w:val="00B40E79"/>
    <w:rsid w:val="00B4181F"/>
    <w:rsid w:val="00B41A4F"/>
    <w:rsid w:val="00B41F6B"/>
    <w:rsid w:val="00B4215E"/>
    <w:rsid w:val="00B4242D"/>
    <w:rsid w:val="00B428BA"/>
    <w:rsid w:val="00B42E1B"/>
    <w:rsid w:val="00B42E4C"/>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61D7"/>
    <w:rsid w:val="00B56876"/>
    <w:rsid w:val="00B570A6"/>
    <w:rsid w:val="00B61E79"/>
    <w:rsid w:val="00B6203D"/>
    <w:rsid w:val="00B635A4"/>
    <w:rsid w:val="00B64004"/>
    <w:rsid w:val="00B649F9"/>
    <w:rsid w:val="00B66203"/>
    <w:rsid w:val="00B667E8"/>
    <w:rsid w:val="00B668A8"/>
    <w:rsid w:val="00B672EA"/>
    <w:rsid w:val="00B67538"/>
    <w:rsid w:val="00B70699"/>
    <w:rsid w:val="00B70759"/>
    <w:rsid w:val="00B7174B"/>
    <w:rsid w:val="00B71C79"/>
    <w:rsid w:val="00B7201F"/>
    <w:rsid w:val="00B7225F"/>
    <w:rsid w:val="00B72828"/>
    <w:rsid w:val="00B7322A"/>
    <w:rsid w:val="00B740D8"/>
    <w:rsid w:val="00B7494F"/>
    <w:rsid w:val="00B74EC4"/>
    <w:rsid w:val="00B74FCA"/>
    <w:rsid w:val="00B75A29"/>
    <w:rsid w:val="00B75A9C"/>
    <w:rsid w:val="00B7657B"/>
    <w:rsid w:val="00B77E16"/>
    <w:rsid w:val="00B802E1"/>
    <w:rsid w:val="00B80C2A"/>
    <w:rsid w:val="00B81071"/>
    <w:rsid w:val="00B813D5"/>
    <w:rsid w:val="00B8174F"/>
    <w:rsid w:val="00B81B08"/>
    <w:rsid w:val="00B82920"/>
    <w:rsid w:val="00B83727"/>
    <w:rsid w:val="00B842A4"/>
    <w:rsid w:val="00B85577"/>
    <w:rsid w:val="00B85EBA"/>
    <w:rsid w:val="00B85EE3"/>
    <w:rsid w:val="00B869A2"/>
    <w:rsid w:val="00B86D74"/>
    <w:rsid w:val="00B86D95"/>
    <w:rsid w:val="00B86DE1"/>
    <w:rsid w:val="00B87C59"/>
    <w:rsid w:val="00B87F5E"/>
    <w:rsid w:val="00B90481"/>
    <w:rsid w:val="00B90D08"/>
    <w:rsid w:val="00B91091"/>
    <w:rsid w:val="00B91F2F"/>
    <w:rsid w:val="00B91F34"/>
    <w:rsid w:val="00B922F0"/>
    <w:rsid w:val="00B92843"/>
    <w:rsid w:val="00B92CB4"/>
    <w:rsid w:val="00B935C1"/>
    <w:rsid w:val="00B94292"/>
    <w:rsid w:val="00B9485B"/>
    <w:rsid w:val="00B9495B"/>
    <w:rsid w:val="00B950D8"/>
    <w:rsid w:val="00B951CE"/>
    <w:rsid w:val="00B951EB"/>
    <w:rsid w:val="00B95D69"/>
    <w:rsid w:val="00B97239"/>
    <w:rsid w:val="00BA0010"/>
    <w:rsid w:val="00BA058F"/>
    <w:rsid w:val="00BA061F"/>
    <w:rsid w:val="00BA0BFE"/>
    <w:rsid w:val="00BA0E9E"/>
    <w:rsid w:val="00BA184B"/>
    <w:rsid w:val="00BA19EE"/>
    <w:rsid w:val="00BA213A"/>
    <w:rsid w:val="00BA21DB"/>
    <w:rsid w:val="00BA25F4"/>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16C6"/>
    <w:rsid w:val="00BB1851"/>
    <w:rsid w:val="00BB383A"/>
    <w:rsid w:val="00BB4E1A"/>
    <w:rsid w:val="00BB5F01"/>
    <w:rsid w:val="00BB60A5"/>
    <w:rsid w:val="00BB793E"/>
    <w:rsid w:val="00BC0336"/>
    <w:rsid w:val="00BC0433"/>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AB6"/>
    <w:rsid w:val="00BC7EC5"/>
    <w:rsid w:val="00BD0408"/>
    <w:rsid w:val="00BD0977"/>
    <w:rsid w:val="00BD0D3E"/>
    <w:rsid w:val="00BD0FD5"/>
    <w:rsid w:val="00BD1202"/>
    <w:rsid w:val="00BD17DF"/>
    <w:rsid w:val="00BD2319"/>
    <w:rsid w:val="00BD2355"/>
    <w:rsid w:val="00BD2487"/>
    <w:rsid w:val="00BD27F8"/>
    <w:rsid w:val="00BD3048"/>
    <w:rsid w:val="00BD30B2"/>
    <w:rsid w:val="00BD36AF"/>
    <w:rsid w:val="00BD3F2E"/>
    <w:rsid w:val="00BD4719"/>
    <w:rsid w:val="00BD4CEC"/>
    <w:rsid w:val="00BD5050"/>
    <w:rsid w:val="00BD50D0"/>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469C"/>
    <w:rsid w:val="00BF55B6"/>
    <w:rsid w:val="00BF5C23"/>
    <w:rsid w:val="00BF670A"/>
    <w:rsid w:val="00BF6782"/>
    <w:rsid w:val="00BF7794"/>
    <w:rsid w:val="00BF7A2F"/>
    <w:rsid w:val="00C00927"/>
    <w:rsid w:val="00C00CFE"/>
    <w:rsid w:val="00C02CEF"/>
    <w:rsid w:val="00C02E02"/>
    <w:rsid w:val="00C03625"/>
    <w:rsid w:val="00C0383E"/>
    <w:rsid w:val="00C045B2"/>
    <w:rsid w:val="00C049FB"/>
    <w:rsid w:val="00C04A14"/>
    <w:rsid w:val="00C07B82"/>
    <w:rsid w:val="00C10293"/>
    <w:rsid w:val="00C10469"/>
    <w:rsid w:val="00C11059"/>
    <w:rsid w:val="00C1172E"/>
    <w:rsid w:val="00C12AB9"/>
    <w:rsid w:val="00C13A66"/>
    <w:rsid w:val="00C13AFF"/>
    <w:rsid w:val="00C14970"/>
    <w:rsid w:val="00C15A30"/>
    <w:rsid w:val="00C15EAF"/>
    <w:rsid w:val="00C15F87"/>
    <w:rsid w:val="00C16995"/>
    <w:rsid w:val="00C174AA"/>
    <w:rsid w:val="00C20D17"/>
    <w:rsid w:val="00C20D68"/>
    <w:rsid w:val="00C2160C"/>
    <w:rsid w:val="00C21A63"/>
    <w:rsid w:val="00C22774"/>
    <w:rsid w:val="00C22D98"/>
    <w:rsid w:val="00C23477"/>
    <w:rsid w:val="00C235D7"/>
    <w:rsid w:val="00C24A58"/>
    <w:rsid w:val="00C24DC9"/>
    <w:rsid w:val="00C2588C"/>
    <w:rsid w:val="00C25CCC"/>
    <w:rsid w:val="00C2652A"/>
    <w:rsid w:val="00C265DE"/>
    <w:rsid w:val="00C268DD"/>
    <w:rsid w:val="00C269F1"/>
    <w:rsid w:val="00C26E1B"/>
    <w:rsid w:val="00C26E40"/>
    <w:rsid w:val="00C27708"/>
    <w:rsid w:val="00C27C15"/>
    <w:rsid w:val="00C27E98"/>
    <w:rsid w:val="00C30159"/>
    <w:rsid w:val="00C30958"/>
    <w:rsid w:val="00C30D3B"/>
    <w:rsid w:val="00C31A2B"/>
    <w:rsid w:val="00C31A5D"/>
    <w:rsid w:val="00C320D6"/>
    <w:rsid w:val="00C32134"/>
    <w:rsid w:val="00C325CC"/>
    <w:rsid w:val="00C33493"/>
    <w:rsid w:val="00C33661"/>
    <w:rsid w:val="00C33DF4"/>
    <w:rsid w:val="00C34550"/>
    <w:rsid w:val="00C35270"/>
    <w:rsid w:val="00C356F9"/>
    <w:rsid w:val="00C36726"/>
    <w:rsid w:val="00C3740F"/>
    <w:rsid w:val="00C40581"/>
    <w:rsid w:val="00C40A92"/>
    <w:rsid w:val="00C41089"/>
    <w:rsid w:val="00C41B42"/>
    <w:rsid w:val="00C4313A"/>
    <w:rsid w:val="00C43985"/>
    <w:rsid w:val="00C43BFF"/>
    <w:rsid w:val="00C44288"/>
    <w:rsid w:val="00C4440A"/>
    <w:rsid w:val="00C44F88"/>
    <w:rsid w:val="00C45B48"/>
    <w:rsid w:val="00C45FA1"/>
    <w:rsid w:val="00C464DA"/>
    <w:rsid w:val="00C465BC"/>
    <w:rsid w:val="00C46FF1"/>
    <w:rsid w:val="00C47A07"/>
    <w:rsid w:val="00C50B1C"/>
    <w:rsid w:val="00C50BD9"/>
    <w:rsid w:val="00C510AB"/>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7BD2"/>
    <w:rsid w:val="00C60299"/>
    <w:rsid w:val="00C60722"/>
    <w:rsid w:val="00C6096C"/>
    <w:rsid w:val="00C61A51"/>
    <w:rsid w:val="00C61D81"/>
    <w:rsid w:val="00C6239E"/>
    <w:rsid w:val="00C6367C"/>
    <w:rsid w:val="00C63886"/>
    <w:rsid w:val="00C644BF"/>
    <w:rsid w:val="00C64A91"/>
    <w:rsid w:val="00C65468"/>
    <w:rsid w:val="00C6598C"/>
    <w:rsid w:val="00C6603F"/>
    <w:rsid w:val="00C6624D"/>
    <w:rsid w:val="00C66BFE"/>
    <w:rsid w:val="00C66C47"/>
    <w:rsid w:val="00C70295"/>
    <w:rsid w:val="00C702F9"/>
    <w:rsid w:val="00C706E5"/>
    <w:rsid w:val="00C71231"/>
    <w:rsid w:val="00C718CD"/>
    <w:rsid w:val="00C73150"/>
    <w:rsid w:val="00C744C9"/>
    <w:rsid w:val="00C75102"/>
    <w:rsid w:val="00C75EC4"/>
    <w:rsid w:val="00C760F3"/>
    <w:rsid w:val="00C761A9"/>
    <w:rsid w:val="00C76A43"/>
    <w:rsid w:val="00C808C1"/>
    <w:rsid w:val="00C817D6"/>
    <w:rsid w:val="00C81A82"/>
    <w:rsid w:val="00C8230F"/>
    <w:rsid w:val="00C82D0C"/>
    <w:rsid w:val="00C83164"/>
    <w:rsid w:val="00C83D13"/>
    <w:rsid w:val="00C84C0B"/>
    <w:rsid w:val="00C85275"/>
    <w:rsid w:val="00C85367"/>
    <w:rsid w:val="00C85A8F"/>
    <w:rsid w:val="00C86339"/>
    <w:rsid w:val="00C87919"/>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A0901"/>
    <w:rsid w:val="00CA1A31"/>
    <w:rsid w:val="00CA225A"/>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3450"/>
    <w:rsid w:val="00CC4CA6"/>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389"/>
    <w:rsid w:val="00CD29D5"/>
    <w:rsid w:val="00CD2BF7"/>
    <w:rsid w:val="00CD4019"/>
    <w:rsid w:val="00CD409D"/>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5FA"/>
    <w:rsid w:val="00CF5DEB"/>
    <w:rsid w:val="00CF68DE"/>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F4C"/>
    <w:rsid w:val="00D1010A"/>
    <w:rsid w:val="00D11146"/>
    <w:rsid w:val="00D126A3"/>
    <w:rsid w:val="00D12939"/>
    <w:rsid w:val="00D1391B"/>
    <w:rsid w:val="00D139E9"/>
    <w:rsid w:val="00D14AB1"/>
    <w:rsid w:val="00D1563D"/>
    <w:rsid w:val="00D15B52"/>
    <w:rsid w:val="00D1624F"/>
    <w:rsid w:val="00D162C6"/>
    <w:rsid w:val="00D16975"/>
    <w:rsid w:val="00D16E7A"/>
    <w:rsid w:val="00D17415"/>
    <w:rsid w:val="00D175C4"/>
    <w:rsid w:val="00D203E1"/>
    <w:rsid w:val="00D20A66"/>
    <w:rsid w:val="00D21777"/>
    <w:rsid w:val="00D225B0"/>
    <w:rsid w:val="00D22854"/>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B30"/>
    <w:rsid w:val="00D47306"/>
    <w:rsid w:val="00D476FE"/>
    <w:rsid w:val="00D50EF0"/>
    <w:rsid w:val="00D50EF2"/>
    <w:rsid w:val="00D50FC1"/>
    <w:rsid w:val="00D511EF"/>
    <w:rsid w:val="00D513E3"/>
    <w:rsid w:val="00D51D9F"/>
    <w:rsid w:val="00D538B5"/>
    <w:rsid w:val="00D540E6"/>
    <w:rsid w:val="00D5452F"/>
    <w:rsid w:val="00D54B4A"/>
    <w:rsid w:val="00D55046"/>
    <w:rsid w:val="00D557BC"/>
    <w:rsid w:val="00D55C02"/>
    <w:rsid w:val="00D563B4"/>
    <w:rsid w:val="00D56BB9"/>
    <w:rsid w:val="00D5785E"/>
    <w:rsid w:val="00D57ED4"/>
    <w:rsid w:val="00D614D3"/>
    <w:rsid w:val="00D61C25"/>
    <w:rsid w:val="00D62A37"/>
    <w:rsid w:val="00D62CC9"/>
    <w:rsid w:val="00D62D11"/>
    <w:rsid w:val="00D6336F"/>
    <w:rsid w:val="00D63D7A"/>
    <w:rsid w:val="00D64DEC"/>
    <w:rsid w:val="00D65B96"/>
    <w:rsid w:val="00D6645A"/>
    <w:rsid w:val="00D66677"/>
    <w:rsid w:val="00D6718E"/>
    <w:rsid w:val="00D707B3"/>
    <w:rsid w:val="00D718F5"/>
    <w:rsid w:val="00D71F7F"/>
    <w:rsid w:val="00D72919"/>
    <w:rsid w:val="00D729A6"/>
    <w:rsid w:val="00D744AC"/>
    <w:rsid w:val="00D75179"/>
    <w:rsid w:val="00D757EC"/>
    <w:rsid w:val="00D758FA"/>
    <w:rsid w:val="00D76765"/>
    <w:rsid w:val="00D7724D"/>
    <w:rsid w:val="00D77446"/>
    <w:rsid w:val="00D7796E"/>
    <w:rsid w:val="00D77EAE"/>
    <w:rsid w:val="00D80DD9"/>
    <w:rsid w:val="00D8144D"/>
    <w:rsid w:val="00D82264"/>
    <w:rsid w:val="00D8240D"/>
    <w:rsid w:val="00D828A0"/>
    <w:rsid w:val="00D82F01"/>
    <w:rsid w:val="00D82FAF"/>
    <w:rsid w:val="00D83353"/>
    <w:rsid w:val="00D8437D"/>
    <w:rsid w:val="00D84781"/>
    <w:rsid w:val="00D84790"/>
    <w:rsid w:val="00D8565C"/>
    <w:rsid w:val="00D87040"/>
    <w:rsid w:val="00D8764F"/>
    <w:rsid w:val="00D9230D"/>
    <w:rsid w:val="00D9300D"/>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672A"/>
    <w:rsid w:val="00DA708A"/>
    <w:rsid w:val="00DA7117"/>
    <w:rsid w:val="00DB1167"/>
    <w:rsid w:val="00DB1360"/>
    <w:rsid w:val="00DB21EC"/>
    <w:rsid w:val="00DB26FB"/>
    <w:rsid w:val="00DB2CEA"/>
    <w:rsid w:val="00DB3A64"/>
    <w:rsid w:val="00DB436B"/>
    <w:rsid w:val="00DB51B3"/>
    <w:rsid w:val="00DB5E0F"/>
    <w:rsid w:val="00DB6A15"/>
    <w:rsid w:val="00DB7EB6"/>
    <w:rsid w:val="00DC0FBB"/>
    <w:rsid w:val="00DC12BC"/>
    <w:rsid w:val="00DC12E1"/>
    <w:rsid w:val="00DC15CF"/>
    <w:rsid w:val="00DC15ED"/>
    <w:rsid w:val="00DC2299"/>
    <w:rsid w:val="00DC23FC"/>
    <w:rsid w:val="00DC25D6"/>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DE7"/>
    <w:rsid w:val="00DD6E0E"/>
    <w:rsid w:val="00DD73D5"/>
    <w:rsid w:val="00DD78C8"/>
    <w:rsid w:val="00DE0043"/>
    <w:rsid w:val="00DE0343"/>
    <w:rsid w:val="00DE0A4B"/>
    <w:rsid w:val="00DE15D2"/>
    <w:rsid w:val="00DE17EB"/>
    <w:rsid w:val="00DE1E6A"/>
    <w:rsid w:val="00DE279D"/>
    <w:rsid w:val="00DE2DDF"/>
    <w:rsid w:val="00DE3995"/>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6AE7"/>
    <w:rsid w:val="00DF6FFD"/>
    <w:rsid w:val="00DF7F37"/>
    <w:rsid w:val="00E00F2C"/>
    <w:rsid w:val="00E02403"/>
    <w:rsid w:val="00E027E8"/>
    <w:rsid w:val="00E04F3B"/>
    <w:rsid w:val="00E05220"/>
    <w:rsid w:val="00E0525E"/>
    <w:rsid w:val="00E05E3E"/>
    <w:rsid w:val="00E05F83"/>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3CF9"/>
    <w:rsid w:val="00E23DC3"/>
    <w:rsid w:val="00E2532F"/>
    <w:rsid w:val="00E25A51"/>
    <w:rsid w:val="00E26273"/>
    <w:rsid w:val="00E263B1"/>
    <w:rsid w:val="00E26609"/>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37C1C"/>
    <w:rsid w:val="00E404D6"/>
    <w:rsid w:val="00E40793"/>
    <w:rsid w:val="00E41153"/>
    <w:rsid w:val="00E41162"/>
    <w:rsid w:val="00E412E8"/>
    <w:rsid w:val="00E41394"/>
    <w:rsid w:val="00E41677"/>
    <w:rsid w:val="00E41FA0"/>
    <w:rsid w:val="00E41FA3"/>
    <w:rsid w:val="00E420D8"/>
    <w:rsid w:val="00E423A8"/>
    <w:rsid w:val="00E42527"/>
    <w:rsid w:val="00E430A3"/>
    <w:rsid w:val="00E43198"/>
    <w:rsid w:val="00E43550"/>
    <w:rsid w:val="00E438D5"/>
    <w:rsid w:val="00E44399"/>
    <w:rsid w:val="00E4461A"/>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8D5"/>
    <w:rsid w:val="00E61A10"/>
    <w:rsid w:val="00E62318"/>
    <w:rsid w:val="00E6298B"/>
    <w:rsid w:val="00E62D7E"/>
    <w:rsid w:val="00E635AF"/>
    <w:rsid w:val="00E64086"/>
    <w:rsid w:val="00E640D2"/>
    <w:rsid w:val="00E6449F"/>
    <w:rsid w:val="00E64C44"/>
    <w:rsid w:val="00E66BE3"/>
    <w:rsid w:val="00E6700B"/>
    <w:rsid w:val="00E679F1"/>
    <w:rsid w:val="00E67F80"/>
    <w:rsid w:val="00E71798"/>
    <w:rsid w:val="00E7186A"/>
    <w:rsid w:val="00E71BC7"/>
    <w:rsid w:val="00E71FFF"/>
    <w:rsid w:val="00E73ECC"/>
    <w:rsid w:val="00E7471F"/>
    <w:rsid w:val="00E749D4"/>
    <w:rsid w:val="00E74DC4"/>
    <w:rsid w:val="00E74E91"/>
    <w:rsid w:val="00E74FB2"/>
    <w:rsid w:val="00E758A1"/>
    <w:rsid w:val="00E765CD"/>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DC0"/>
    <w:rsid w:val="00E926BB"/>
    <w:rsid w:val="00E9315C"/>
    <w:rsid w:val="00E93B9A"/>
    <w:rsid w:val="00E93DFD"/>
    <w:rsid w:val="00E94BC6"/>
    <w:rsid w:val="00E953D1"/>
    <w:rsid w:val="00E9541D"/>
    <w:rsid w:val="00E97680"/>
    <w:rsid w:val="00E97CA3"/>
    <w:rsid w:val="00EA05C9"/>
    <w:rsid w:val="00EA0787"/>
    <w:rsid w:val="00EA0841"/>
    <w:rsid w:val="00EA10D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E3F"/>
    <w:rsid w:val="00EC0339"/>
    <w:rsid w:val="00EC03A5"/>
    <w:rsid w:val="00EC05B7"/>
    <w:rsid w:val="00EC06E2"/>
    <w:rsid w:val="00EC0703"/>
    <w:rsid w:val="00EC2B72"/>
    <w:rsid w:val="00EC401B"/>
    <w:rsid w:val="00EC4CC2"/>
    <w:rsid w:val="00EC4E64"/>
    <w:rsid w:val="00EC5819"/>
    <w:rsid w:val="00EC5B15"/>
    <w:rsid w:val="00EC5F03"/>
    <w:rsid w:val="00ED14DB"/>
    <w:rsid w:val="00ED17DB"/>
    <w:rsid w:val="00ED24DE"/>
    <w:rsid w:val="00ED316F"/>
    <w:rsid w:val="00ED402E"/>
    <w:rsid w:val="00ED47EC"/>
    <w:rsid w:val="00ED48D3"/>
    <w:rsid w:val="00ED6992"/>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8EE"/>
    <w:rsid w:val="00EF2FDC"/>
    <w:rsid w:val="00EF4A8B"/>
    <w:rsid w:val="00EF64BE"/>
    <w:rsid w:val="00EF6CF6"/>
    <w:rsid w:val="00EF6DC3"/>
    <w:rsid w:val="00F00978"/>
    <w:rsid w:val="00F01E45"/>
    <w:rsid w:val="00F02206"/>
    <w:rsid w:val="00F02B02"/>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2077"/>
    <w:rsid w:val="00F122C0"/>
    <w:rsid w:val="00F12951"/>
    <w:rsid w:val="00F134C8"/>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EF9"/>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F39"/>
    <w:rsid w:val="00F52330"/>
    <w:rsid w:val="00F529F2"/>
    <w:rsid w:val="00F52DDA"/>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A6A"/>
    <w:rsid w:val="00F772F5"/>
    <w:rsid w:val="00F77D1F"/>
    <w:rsid w:val="00F77DC0"/>
    <w:rsid w:val="00F809CD"/>
    <w:rsid w:val="00F8233A"/>
    <w:rsid w:val="00F825E1"/>
    <w:rsid w:val="00F8276A"/>
    <w:rsid w:val="00F82848"/>
    <w:rsid w:val="00F8294C"/>
    <w:rsid w:val="00F83402"/>
    <w:rsid w:val="00F83B09"/>
    <w:rsid w:val="00F86251"/>
    <w:rsid w:val="00F86BDB"/>
    <w:rsid w:val="00F92CFC"/>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45A"/>
    <w:rsid w:val="00FA59F5"/>
    <w:rsid w:val="00FA709B"/>
    <w:rsid w:val="00FA791F"/>
    <w:rsid w:val="00FB08AE"/>
    <w:rsid w:val="00FB0E8B"/>
    <w:rsid w:val="00FB15D0"/>
    <w:rsid w:val="00FB22A4"/>
    <w:rsid w:val="00FB396D"/>
    <w:rsid w:val="00FB3D6E"/>
    <w:rsid w:val="00FB3FE9"/>
    <w:rsid w:val="00FB4235"/>
    <w:rsid w:val="00FB4258"/>
    <w:rsid w:val="00FB4A67"/>
    <w:rsid w:val="00FB53E2"/>
    <w:rsid w:val="00FB5D63"/>
    <w:rsid w:val="00FB606D"/>
    <w:rsid w:val="00FB6128"/>
    <w:rsid w:val="00FC083B"/>
    <w:rsid w:val="00FC0FA2"/>
    <w:rsid w:val="00FC11B7"/>
    <w:rsid w:val="00FC1222"/>
    <w:rsid w:val="00FC2693"/>
    <w:rsid w:val="00FC2717"/>
    <w:rsid w:val="00FC2984"/>
    <w:rsid w:val="00FC29A4"/>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742"/>
    <w:rsid w:val="00FF2D69"/>
    <w:rsid w:val="00FF32D9"/>
    <w:rsid w:val="00FF4047"/>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8A356"/>
  <w15:docId w15:val="{72564A17-915C-43E7-A170-A0580891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A15BB4"/>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fficio.stampa@gimbe.org" TargetMode="External"/><Relationship Id="rId18" Type="http://schemas.openxmlformats.org/officeDocument/2006/relationships/image" Target="media/image5.png"/><Relationship Id="rId26" Type="http://schemas.openxmlformats.org/officeDocument/2006/relationships/image" Target="media/image13.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ronavirus.gimbe.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centro.iss.it/coronavirus/bollettino/Bollettino-sorveglianza-integrata-COVID-19_23-febbraio-2022.pdf" TargetMode="Externa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github.com/italia/covid19-opendata-vaccini/blob/master/dati/platea-booster-immunocompromessi.csv"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AB2A1-AC1E-4E07-8477-AD2458B5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2289</Words>
  <Characters>13050</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6</cp:revision>
  <cp:lastPrinted>2022-01-12T13:22:00Z</cp:lastPrinted>
  <dcterms:created xsi:type="dcterms:W3CDTF">2022-03-02T15:30:00Z</dcterms:created>
  <dcterms:modified xsi:type="dcterms:W3CDTF">2022-03-02T17:34:00Z</dcterms:modified>
</cp:coreProperties>
</file>