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44F" w:rsidRPr="002349E6" w:rsidRDefault="00AA044F" w:rsidP="00AA044F">
      <w:pPr>
        <w:spacing w:after="0" w:line="276" w:lineRule="auto"/>
        <w:jc w:val="center"/>
        <w:rPr>
          <w:b/>
          <w:bCs/>
          <w:color w:val="auto"/>
          <w:sz w:val="32"/>
          <w:szCs w:val="31"/>
        </w:rPr>
      </w:pPr>
      <w:r>
        <w:rPr>
          <w:b/>
          <w:bCs/>
          <w:color w:val="auto"/>
          <w:sz w:val="32"/>
          <w:szCs w:val="31"/>
        </w:rPr>
        <w:t xml:space="preserve">CORONAVIRUS: </w:t>
      </w:r>
      <w:r w:rsidR="00004D92">
        <w:rPr>
          <w:b/>
          <w:bCs/>
          <w:color w:val="auto"/>
          <w:sz w:val="32"/>
          <w:szCs w:val="31"/>
        </w:rPr>
        <w:t xml:space="preserve">500 MILA NUOVI CASI </w:t>
      </w:r>
      <w:r w:rsidR="00004D92" w:rsidRPr="00AA044F">
        <w:rPr>
          <w:b/>
          <w:bCs/>
          <w:color w:val="000000" w:themeColor="text1"/>
          <w:sz w:val="32"/>
          <w:szCs w:val="31"/>
        </w:rPr>
        <w:t>NELL’ULTIMA SETTIMANA</w:t>
      </w:r>
      <w:r w:rsidRPr="00AA044F">
        <w:rPr>
          <w:b/>
          <w:bCs/>
          <w:color w:val="000000" w:themeColor="text1"/>
          <w:sz w:val="32"/>
          <w:szCs w:val="31"/>
        </w:rPr>
        <w:t>,</w:t>
      </w:r>
      <w:r w:rsidR="00004D92" w:rsidRPr="00AA044F">
        <w:rPr>
          <w:b/>
          <w:bCs/>
          <w:color w:val="000000" w:themeColor="text1"/>
          <w:sz w:val="32"/>
          <w:szCs w:val="31"/>
        </w:rPr>
        <w:t xml:space="preserve"> </w:t>
      </w:r>
      <w:r>
        <w:rPr>
          <w:b/>
          <w:bCs/>
          <w:color w:val="000000" w:themeColor="text1"/>
          <w:sz w:val="32"/>
          <w:szCs w:val="31"/>
        </w:rPr>
        <w:br/>
      </w:r>
      <w:r w:rsidR="00004D92" w:rsidRPr="002349E6">
        <w:rPr>
          <w:b/>
          <w:bCs/>
          <w:color w:val="auto"/>
          <w:sz w:val="32"/>
          <w:szCs w:val="31"/>
        </w:rPr>
        <w:t xml:space="preserve">MA LA CURVA NON </w:t>
      </w:r>
      <w:r w:rsidR="002349E6">
        <w:rPr>
          <w:b/>
          <w:bCs/>
          <w:color w:val="auto"/>
          <w:sz w:val="32"/>
          <w:szCs w:val="31"/>
        </w:rPr>
        <w:t>SALE</w:t>
      </w:r>
      <w:r w:rsidR="002349E6" w:rsidRPr="002349E6">
        <w:rPr>
          <w:b/>
          <w:bCs/>
          <w:color w:val="auto"/>
          <w:sz w:val="32"/>
          <w:szCs w:val="31"/>
        </w:rPr>
        <w:t xml:space="preserve"> </w:t>
      </w:r>
      <w:r w:rsidR="00004D92" w:rsidRPr="002349E6">
        <w:rPr>
          <w:b/>
          <w:bCs/>
          <w:color w:val="auto"/>
          <w:sz w:val="32"/>
          <w:szCs w:val="31"/>
        </w:rPr>
        <w:t xml:space="preserve">PIÙ. </w:t>
      </w:r>
    </w:p>
    <w:p w:rsidR="00AA044F" w:rsidRDefault="00004D92" w:rsidP="00004D92">
      <w:pPr>
        <w:spacing w:after="0" w:line="276" w:lineRule="auto"/>
        <w:jc w:val="center"/>
        <w:rPr>
          <w:b/>
          <w:bCs/>
          <w:color w:val="auto"/>
          <w:sz w:val="32"/>
          <w:szCs w:val="31"/>
        </w:rPr>
      </w:pPr>
      <w:r>
        <w:rPr>
          <w:b/>
          <w:bCs/>
          <w:color w:val="auto"/>
          <w:sz w:val="32"/>
          <w:szCs w:val="31"/>
        </w:rPr>
        <w:t xml:space="preserve">IN 7 GIORNI </w:t>
      </w:r>
      <w:r w:rsidR="00AA044F">
        <w:rPr>
          <w:b/>
          <w:bCs/>
          <w:color w:val="auto"/>
          <w:sz w:val="32"/>
          <w:szCs w:val="31"/>
        </w:rPr>
        <w:t>AUMENTANO RICOVERI (</w:t>
      </w:r>
      <w:r w:rsidR="00927D5F">
        <w:rPr>
          <w:b/>
          <w:bCs/>
          <w:color w:val="auto"/>
          <w:sz w:val="32"/>
          <w:szCs w:val="31"/>
        </w:rPr>
        <w:t>+</w:t>
      </w:r>
      <w:r w:rsidR="00CB6D19">
        <w:rPr>
          <w:b/>
          <w:bCs/>
          <w:color w:val="auto"/>
          <w:sz w:val="32"/>
          <w:szCs w:val="31"/>
        </w:rPr>
        <w:t xml:space="preserve">8,6%) E TERAPIE INTENSIVE </w:t>
      </w:r>
      <w:r w:rsidR="00AA044F" w:rsidRPr="006E5BF5">
        <w:rPr>
          <w:b/>
          <w:bCs/>
          <w:color w:val="auto"/>
          <w:sz w:val="32"/>
          <w:szCs w:val="31"/>
        </w:rPr>
        <w:t>(+</w:t>
      </w:r>
      <w:r w:rsidR="00AA044F">
        <w:rPr>
          <w:b/>
          <w:bCs/>
          <w:color w:val="auto"/>
          <w:sz w:val="32"/>
          <w:szCs w:val="31"/>
        </w:rPr>
        <w:t>7</w:t>
      </w:r>
      <w:r w:rsidR="00AA044F" w:rsidRPr="006E5BF5">
        <w:rPr>
          <w:b/>
          <w:bCs/>
          <w:color w:val="auto"/>
          <w:sz w:val="32"/>
          <w:szCs w:val="31"/>
        </w:rPr>
        <w:t>%</w:t>
      </w:r>
      <w:r w:rsidR="00CB6D19">
        <w:rPr>
          <w:b/>
          <w:bCs/>
          <w:color w:val="auto"/>
          <w:sz w:val="32"/>
          <w:szCs w:val="31"/>
        </w:rPr>
        <w:t>)</w:t>
      </w:r>
    </w:p>
    <w:p w:rsidR="004071AC" w:rsidRDefault="00CB6D19" w:rsidP="00004D92">
      <w:pPr>
        <w:spacing w:after="0" w:line="276" w:lineRule="auto"/>
        <w:jc w:val="center"/>
        <w:rPr>
          <w:b/>
          <w:bCs/>
          <w:color w:val="auto"/>
          <w:sz w:val="32"/>
          <w:szCs w:val="31"/>
        </w:rPr>
      </w:pPr>
      <w:r w:rsidRPr="00CB6D19">
        <w:rPr>
          <w:b/>
          <w:bCs/>
          <w:color w:val="auto"/>
          <w:sz w:val="32"/>
          <w:szCs w:val="31"/>
        </w:rPr>
        <w:t>ARRANCA LA CAMPAGNA VACCINALE: IN UN MESE I CICLI COMPLETI PASSANO DA 83,3% A 83,9% E TERZE DOSI DA 80,4% A 83,2%</w:t>
      </w:r>
      <w:r w:rsidR="00004D92">
        <w:rPr>
          <w:b/>
          <w:bCs/>
          <w:color w:val="auto"/>
          <w:sz w:val="32"/>
          <w:szCs w:val="31"/>
        </w:rPr>
        <w:t xml:space="preserve">. </w:t>
      </w:r>
    </w:p>
    <w:p w:rsidR="00004D92" w:rsidRDefault="00004D92" w:rsidP="00004D92">
      <w:pPr>
        <w:spacing w:after="0" w:line="276" w:lineRule="auto"/>
        <w:jc w:val="center"/>
        <w:rPr>
          <w:b/>
          <w:bCs/>
          <w:color w:val="auto"/>
          <w:sz w:val="32"/>
          <w:szCs w:val="31"/>
        </w:rPr>
      </w:pPr>
      <w:r>
        <w:rPr>
          <w:b/>
          <w:bCs/>
          <w:color w:val="auto"/>
          <w:sz w:val="32"/>
          <w:szCs w:val="31"/>
        </w:rPr>
        <w:t xml:space="preserve">QUARTA DOSE: </w:t>
      </w:r>
      <w:r w:rsidR="004071AC">
        <w:rPr>
          <w:b/>
          <w:bCs/>
          <w:color w:val="auto"/>
          <w:sz w:val="32"/>
          <w:szCs w:val="31"/>
        </w:rPr>
        <w:t xml:space="preserve">RAGIONEVOLE </w:t>
      </w:r>
      <w:r w:rsidR="00AA044F">
        <w:rPr>
          <w:b/>
          <w:bCs/>
          <w:color w:val="auto"/>
          <w:sz w:val="32"/>
          <w:szCs w:val="31"/>
        </w:rPr>
        <w:t xml:space="preserve">DARE </w:t>
      </w:r>
      <w:r w:rsidR="004071AC">
        <w:rPr>
          <w:b/>
          <w:bCs/>
          <w:color w:val="auto"/>
          <w:sz w:val="32"/>
          <w:szCs w:val="31"/>
        </w:rPr>
        <w:t>IL VIA LIBERA AGLI OVER 80</w:t>
      </w:r>
      <w:r w:rsidR="00927D5F">
        <w:rPr>
          <w:b/>
          <w:bCs/>
          <w:color w:val="auto"/>
          <w:sz w:val="32"/>
          <w:szCs w:val="31"/>
        </w:rPr>
        <w:t>.</w:t>
      </w:r>
    </w:p>
    <w:p w:rsidR="00004D92" w:rsidRPr="007368D9" w:rsidRDefault="00AA044F" w:rsidP="00004D92">
      <w:pPr>
        <w:spacing w:after="0" w:line="276" w:lineRule="auto"/>
        <w:jc w:val="center"/>
        <w:rPr>
          <w:b/>
          <w:bCs/>
          <w:color w:val="auto"/>
          <w:sz w:val="32"/>
          <w:szCs w:val="31"/>
        </w:rPr>
      </w:pPr>
      <w:r>
        <w:rPr>
          <w:b/>
          <w:bCs/>
          <w:color w:val="auto"/>
          <w:sz w:val="32"/>
          <w:szCs w:val="31"/>
        </w:rPr>
        <w:t xml:space="preserve">FINE </w:t>
      </w:r>
      <w:r w:rsidR="00004D92">
        <w:rPr>
          <w:b/>
          <w:bCs/>
          <w:color w:val="auto"/>
          <w:sz w:val="32"/>
          <w:szCs w:val="31"/>
        </w:rPr>
        <w:t>STATO DI EMERGENZA</w:t>
      </w:r>
      <w:r w:rsidR="00BA2557">
        <w:rPr>
          <w:b/>
          <w:bCs/>
          <w:color w:val="auto"/>
          <w:sz w:val="32"/>
          <w:szCs w:val="31"/>
        </w:rPr>
        <w:t xml:space="preserve"> </w:t>
      </w:r>
      <w:r w:rsidR="001649D7">
        <w:rPr>
          <w:b/>
          <w:bCs/>
          <w:color w:val="auto"/>
          <w:sz w:val="32"/>
          <w:szCs w:val="31"/>
        </w:rPr>
        <w:t>SOTTO IL SEGNO DI UN’</w:t>
      </w:r>
      <w:r w:rsidR="004071AC">
        <w:rPr>
          <w:b/>
          <w:bCs/>
          <w:color w:val="auto"/>
          <w:sz w:val="32"/>
          <w:szCs w:val="31"/>
        </w:rPr>
        <w:t xml:space="preserve">ELEVATA CIRCOLAZIONE VIRALE: </w:t>
      </w:r>
      <w:r w:rsidR="00633B10">
        <w:rPr>
          <w:b/>
          <w:bCs/>
          <w:color w:val="auto"/>
          <w:sz w:val="32"/>
          <w:szCs w:val="31"/>
        </w:rPr>
        <w:t xml:space="preserve">LE </w:t>
      </w:r>
      <w:r w:rsidR="00903B7D">
        <w:rPr>
          <w:b/>
          <w:bCs/>
          <w:color w:val="auto"/>
          <w:sz w:val="32"/>
          <w:szCs w:val="31"/>
        </w:rPr>
        <w:t>RACCOMANDAZIONI GIMBE</w:t>
      </w:r>
    </w:p>
    <w:p w:rsidR="00004D92" w:rsidRPr="000A0380" w:rsidRDefault="00004D92" w:rsidP="00004D92">
      <w:pPr>
        <w:spacing w:after="200" w:line="276" w:lineRule="auto"/>
        <w:jc w:val="both"/>
        <w:rPr>
          <w:b/>
          <w:bCs/>
          <w:color w:val="FF0000"/>
          <w:sz w:val="24"/>
          <w:szCs w:val="24"/>
        </w:rPr>
      </w:pPr>
      <w:r w:rsidRPr="00B13B1A">
        <w:rPr>
          <w:b/>
          <w:bCs/>
          <w:color w:val="auto"/>
          <w:sz w:val="24"/>
          <w:szCs w:val="24"/>
        </w:rPr>
        <w:t xml:space="preserve">IL MONITORAGGIO DELLA FONDAZIONE GIMBE RILEVA, NELLA SETTIMANA 23-29 MARZO, UNA SOSTANZIALE STABILITÀ </w:t>
      </w:r>
      <w:r>
        <w:rPr>
          <w:b/>
          <w:bCs/>
          <w:color w:val="auto"/>
          <w:sz w:val="24"/>
          <w:szCs w:val="24"/>
        </w:rPr>
        <w:t xml:space="preserve">DEI NUOVI CASI </w:t>
      </w:r>
      <w:r w:rsidRPr="00B13B1A">
        <w:rPr>
          <w:b/>
          <w:bCs/>
          <w:color w:val="auto"/>
          <w:sz w:val="24"/>
          <w:szCs w:val="24"/>
        </w:rPr>
        <w:t xml:space="preserve">(504.487). SCENDONO A 34 LE PROVINCE CON INCIDENZA SUPERIORE A 1.000 CASI PER 100.000 ABITANTI. </w:t>
      </w:r>
      <w:r w:rsidR="004071AC">
        <w:rPr>
          <w:b/>
          <w:bCs/>
          <w:color w:val="auto"/>
          <w:sz w:val="24"/>
          <w:szCs w:val="24"/>
        </w:rPr>
        <w:t xml:space="preserve">AUMENTA L’OCCUPAZIONE DEI POSTI LETTO COVID </w:t>
      </w:r>
      <w:r w:rsidRPr="00107979">
        <w:rPr>
          <w:b/>
          <w:bCs/>
          <w:color w:val="auto"/>
          <w:sz w:val="24"/>
          <w:szCs w:val="24"/>
        </w:rPr>
        <w:t xml:space="preserve">IN AREA MEDICA (+771) E SI INVERTE LA TENDENZA </w:t>
      </w:r>
      <w:r w:rsidR="004071AC">
        <w:rPr>
          <w:b/>
          <w:bCs/>
          <w:color w:val="auto"/>
          <w:sz w:val="24"/>
          <w:szCs w:val="24"/>
        </w:rPr>
        <w:t xml:space="preserve">IN </w:t>
      </w:r>
      <w:r w:rsidRPr="00107979">
        <w:rPr>
          <w:b/>
          <w:bCs/>
          <w:color w:val="auto"/>
          <w:sz w:val="24"/>
          <w:szCs w:val="24"/>
        </w:rPr>
        <w:t>TERAPIA INTENSIVA (+32)</w:t>
      </w:r>
      <w:r w:rsidR="00AE3BDB">
        <w:rPr>
          <w:b/>
          <w:bCs/>
          <w:color w:val="auto"/>
          <w:sz w:val="24"/>
          <w:szCs w:val="24"/>
        </w:rPr>
        <w:t>, STABILI</w:t>
      </w:r>
      <w:r w:rsidRPr="00107979">
        <w:rPr>
          <w:b/>
          <w:bCs/>
          <w:color w:val="auto"/>
          <w:sz w:val="24"/>
          <w:szCs w:val="24"/>
        </w:rPr>
        <w:t xml:space="preserve"> I DECESSI (953). </w:t>
      </w:r>
      <w:r w:rsidR="004071AC">
        <w:rPr>
          <w:b/>
          <w:bCs/>
          <w:color w:val="auto"/>
          <w:sz w:val="24"/>
          <w:szCs w:val="24"/>
        </w:rPr>
        <w:t xml:space="preserve">FERME </w:t>
      </w:r>
      <w:r w:rsidRPr="00107979">
        <w:rPr>
          <w:b/>
          <w:bCs/>
          <w:color w:val="auto"/>
          <w:sz w:val="24"/>
          <w:szCs w:val="24"/>
        </w:rPr>
        <w:t xml:space="preserve">LE PERCENTUALI DI POPOLAZIONE VACCINATA CON ALMENO UNA DOSE (85,6%) E CON CICLO COMPLETO (83,9%). 6,94 MILIONI DI NON VACCINATI, DI CUI 2,51 MILIONI DI GUARITI PROTETTI SOLO TEMPORANEAMENTE E 4,43 </w:t>
      </w:r>
      <w:r w:rsidR="001649D7">
        <w:rPr>
          <w:b/>
          <w:bCs/>
          <w:color w:val="auto"/>
          <w:sz w:val="24"/>
          <w:szCs w:val="24"/>
        </w:rPr>
        <w:t xml:space="preserve">MILIONI </w:t>
      </w:r>
      <w:r w:rsidRPr="00107979">
        <w:rPr>
          <w:b/>
          <w:bCs/>
          <w:color w:val="auto"/>
          <w:sz w:val="24"/>
          <w:szCs w:val="24"/>
        </w:rPr>
        <w:t xml:space="preserve">ATTUALMENTE VACCINABILI. TASSO DI COPERTURA TERZE DOSI ALL’83,2% E SOLO 58.545 QUARTE DOSI SOMMINISTRATE AGLI IMMUNOCOMPROMESSI (7%). </w:t>
      </w:r>
      <w:r>
        <w:rPr>
          <w:b/>
          <w:bCs/>
          <w:color w:val="auto"/>
          <w:sz w:val="24"/>
          <w:szCs w:val="24"/>
        </w:rPr>
        <w:t xml:space="preserve">EVIDENZE SCIENTIFICHE </w:t>
      </w:r>
      <w:r w:rsidR="004071AC">
        <w:rPr>
          <w:b/>
          <w:bCs/>
          <w:color w:val="auto"/>
          <w:sz w:val="24"/>
          <w:szCs w:val="24"/>
        </w:rPr>
        <w:t>FRAMMENTATE</w:t>
      </w:r>
      <w:r w:rsidR="004071AC" w:rsidRPr="000D10EC">
        <w:rPr>
          <w:b/>
          <w:bCs/>
          <w:color w:val="auto"/>
          <w:sz w:val="24"/>
          <w:szCs w:val="24"/>
        </w:rPr>
        <w:t xml:space="preserve"> </w:t>
      </w:r>
      <w:r>
        <w:rPr>
          <w:b/>
          <w:bCs/>
          <w:color w:val="auto"/>
          <w:sz w:val="24"/>
          <w:szCs w:val="24"/>
        </w:rPr>
        <w:t xml:space="preserve">SU </w:t>
      </w:r>
      <w:r w:rsidRPr="000D10EC">
        <w:rPr>
          <w:b/>
          <w:bCs/>
          <w:color w:val="auto"/>
          <w:sz w:val="24"/>
          <w:szCs w:val="24"/>
        </w:rPr>
        <w:t>EFFICAC</w:t>
      </w:r>
      <w:r>
        <w:rPr>
          <w:b/>
          <w:bCs/>
          <w:color w:val="auto"/>
          <w:sz w:val="24"/>
          <w:szCs w:val="24"/>
        </w:rPr>
        <w:t>IA DELLA QUARTA DOSE DI VACCINO</w:t>
      </w:r>
      <w:r w:rsidR="004071AC">
        <w:rPr>
          <w:b/>
          <w:bCs/>
          <w:color w:val="auto"/>
          <w:sz w:val="24"/>
          <w:szCs w:val="24"/>
        </w:rPr>
        <w:t xml:space="preserve"> </w:t>
      </w:r>
      <w:r w:rsidR="00506825">
        <w:rPr>
          <w:b/>
          <w:bCs/>
          <w:color w:val="auto"/>
          <w:sz w:val="24"/>
          <w:szCs w:val="24"/>
        </w:rPr>
        <w:t>LASCIANO INTRAVEDERE</w:t>
      </w:r>
      <w:r w:rsidRPr="000D10EC">
        <w:rPr>
          <w:b/>
          <w:bCs/>
          <w:color w:val="auto"/>
          <w:sz w:val="24"/>
          <w:szCs w:val="24"/>
        </w:rPr>
        <w:t xml:space="preserve"> EFFETTO PROTETTIVO </w:t>
      </w:r>
      <w:r>
        <w:rPr>
          <w:b/>
          <w:bCs/>
          <w:color w:val="auto"/>
          <w:sz w:val="24"/>
          <w:szCs w:val="24"/>
        </w:rPr>
        <w:t xml:space="preserve">SU MALATTIA GRAVE </w:t>
      </w:r>
      <w:r w:rsidR="004071AC">
        <w:rPr>
          <w:b/>
          <w:bCs/>
          <w:color w:val="auto"/>
          <w:sz w:val="24"/>
          <w:szCs w:val="24"/>
        </w:rPr>
        <w:t>NEGLI OVER 80</w:t>
      </w:r>
      <w:r>
        <w:rPr>
          <w:b/>
          <w:bCs/>
          <w:color w:val="auto"/>
          <w:sz w:val="24"/>
          <w:szCs w:val="24"/>
        </w:rPr>
        <w:t>.</w:t>
      </w:r>
      <w:r w:rsidRPr="000D10EC">
        <w:rPr>
          <w:b/>
          <w:bCs/>
          <w:color w:val="auto"/>
          <w:sz w:val="24"/>
          <w:szCs w:val="24"/>
        </w:rPr>
        <w:t xml:space="preserve"> </w:t>
      </w:r>
      <w:r>
        <w:rPr>
          <w:b/>
          <w:bCs/>
          <w:color w:val="auto"/>
          <w:sz w:val="24"/>
          <w:szCs w:val="24"/>
        </w:rPr>
        <w:t xml:space="preserve">DALLA FONDAZIONE </w:t>
      </w:r>
      <w:r w:rsidRPr="005E1348">
        <w:rPr>
          <w:b/>
          <w:bCs/>
          <w:color w:val="auto"/>
          <w:sz w:val="24"/>
          <w:szCs w:val="24"/>
        </w:rPr>
        <w:t xml:space="preserve">GIMBE </w:t>
      </w:r>
      <w:r>
        <w:rPr>
          <w:b/>
          <w:bCs/>
          <w:color w:val="auto"/>
          <w:sz w:val="24"/>
          <w:szCs w:val="24"/>
        </w:rPr>
        <w:t xml:space="preserve">10 RACCOMANDAZIONI </w:t>
      </w:r>
      <w:r w:rsidRPr="005E1348">
        <w:rPr>
          <w:b/>
          <w:bCs/>
          <w:color w:val="auto"/>
          <w:sz w:val="24"/>
          <w:szCs w:val="24"/>
        </w:rPr>
        <w:t>PER LA CONVIVENZA CON SARS-COV</w:t>
      </w:r>
      <w:r w:rsidR="00AE3BDB">
        <w:rPr>
          <w:b/>
          <w:bCs/>
          <w:color w:val="auto"/>
          <w:sz w:val="24"/>
          <w:szCs w:val="24"/>
        </w:rPr>
        <w:t>-</w:t>
      </w:r>
      <w:r w:rsidRPr="005E1348">
        <w:rPr>
          <w:b/>
          <w:bCs/>
          <w:color w:val="auto"/>
          <w:sz w:val="24"/>
          <w:szCs w:val="24"/>
        </w:rPr>
        <w:t>2 DOPO IL 31 MARZO 2022</w:t>
      </w:r>
      <w:r>
        <w:rPr>
          <w:b/>
          <w:bCs/>
          <w:color w:val="auto"/>
          <w:sz w:val="24"/>
          <w:szCs w:val="24"/>
        </w:rPr>
        <w:t>.</w:t>
      </w:r>
    </w:p>
    <w:p w:rsidR="002D4262" w:rsidRPr="000C2BD2" w:rsidRDefault="000A0380" w:rsidP="002D4262">
      <w:pPr>
        <w:spacing w:after="200" w:line="276" w:lineRule="auto"/>
        <w:jc w:val="center"/>
        <w:rPr>
          <w:b/>
          <w:bCs/>
          <w:color w:val="auto"/>
          <w:spacing w:val="-2"/>
          <w:sz w:val="32"/>
          <w:szCs w:val="32"/>
        </w:rPr>
      </w:pPr>
      <w:r>
        <w:rPr>
          <w:rFonts w:cs="Calibri"/>
          <w:b/>
          <w:bCs/>
          <w:color w:val="auto"/>
        </w:rPr>
        <w:t>31</w:t>
      </w:r>
      <w:r w:rsidR="002D4262" w:rsidRPr="000C2BD2">
        <w:rPr>
          <w:rFonts w:cs="Calibri"/>
          <w:b/>
          <w:bCs/>
          <w:color w:val="auto"/>
        </w:rPr>
        <w:t xml:space="preserve"> marzo 2022 - Fondazione GIMBE, Bologna</w:t>
      </w:r>
    </w:p>
    <w:p w:rsidR="00945FDF" w:rsidRPr="00945FDF" w:rsidRDefault="00945FDF" w:rsidP="00061647">
      <w:pPr>
        <w:spacing w:line="276" w:lineRule="auto"/>
        <w:jc w:val="both"/>
        <w:rPr>
          <w:color w:val="auto"/>
        </w:rPr>
      </w:pPr>
      <w:r w:rsidRPr="00945FDF">
        <w:rPr>
          <w:color w:val="auto"/>
        </w:rPr>
        <w:t>Il monitoraggio indipendente della Fondazione GIMBE rileva nella settimana 23-29 marzo 2022, rispetto alla precedente, un</w:t>
      </w:r>
      <w:r w:rsidR="00A16713">
        <w:rPr>
          <w:color w:val="auto"/>
        </w:rPr>
        <w:t xml:space="preserve">a sostanziale stabilità dei </w:t>
      </w:r>
      <w:r w:rsidRPr="00945FDF">
        <w:rPr>
          <w:color w:val="auto"/>
        </w:rPr>
        <w:t>nuovi casi (504.487 vs 502.773) (</w:t>
      </w:r>
      <w:r w:rsidRPr="00945FDF">
        <w:rPr>
          <w:color w:val="auto"/>
          <w:highlight w:val="yellow"/>
        </w:rPr>
        <w:t>figura 1</w:t>
      </w:r>
      <w:r w:rsidRPr="00945FDF">
        <w:rPr>
          <w:color w:val="auto"/>
        </w:rPr>
        <w:t xml:space="preserve">) e </w:t>
      </w:r>
      <w:r w:rsidR="00A16713">
        <w:rPr>
          <w:color w:val="auto"/>
        </w:rPr>
        <w:t xml:space="preserve">dei </w:t>
      </w:r>
      <w:r w:rsidRPr="00945FDF">
        <w:rPr>
          <w:color w:val="auto"/>
        </w:rPr>
        <w:t>decessi (953 vs 924) (</w:t>
      </w:r>
      <w:r w:rsidRPr="00945FDF">
        <w:rPr>
          <w:color w:val="auto"/>
          <w:highlight w:val="yellow"/>
        </w:rPr>
        <w:t>figura 2</w:t>
      </w:r>
      <w:r w:rsidRPr="00945FDF">
        <w:rPr>
          <w:color w:val="auto"/>
        </w:rPr>
        <w:t>). In aumento i casi attualmente positivi (1.266.878 vs 1.200.607), le persone in isolamento domiciliare (1.256.651 vs 1.191.183), i ricoveri con sintomi (9.740 vs 8.969) e le terapie intensive (487 vs 455) (</w:t>
      </w:r>
      <w:r w:rsidRPr="00945FDF">
        <w:rPr>
          <w:color w:val="auto"/>
          <w:highlight w:val="yellow"/>
        </w:rPr>
        <w:t>figura 3</w:t>
      </w:r>
      <w:r w:rsidRPr="00945FDF">
        <w:rPr>
          <w:color w:val="auto"/>
        </w:rPr>
        <w:t>). In dettaglio, rispetto alla settimana precedente, si registrano le seguenti variazioni:</w:t>
      </w:r>
    </w:p>
    <w:p w:rsidR="00945FDF" w:rsidRPr="00945FDF" w:rsidRDefault="00945FDF" w:rsidP="00945FDF">
      <w:pPr>
        <w:pStyle w:val="Paragrafoelenco"/>
        <w:numPr>
          <w:ilvl w:val="0"/>
          <w:numId w:val="39"/>
        </w:numPr>
        <w:spacing w:after="0" w:line="276" w:lineRule="auto"/>
        <w:ind w:left="357" w:hanging="357"/>
        <w:jc w:val="both"/>
        <w:rPr>
          <w:color w:val="auto"/>
        </w:rPr>
      </w:pPr>
      <w:r w:rsidRPr="00945FDF">
        <w:rPr>
          <w:color w:val="auto"/>
        </w:rPr>
        <w:t>Decessi: 953 (+3,1%), di cui 64 riferiti a periodi precedenti</w:t>
      </w:r>
    </w:p>
    <w:p w:rsidR="00945FDF" w:rsidRPr="00945FDF" w:rsidRDefault="00945FDF" w:rsidP="00945FDF">
      <w:pPr>
        <w:pStyle w:val="Paragrafoelenco"/>
        <w:numPr>
          <w:ilvl w:val="0"/>
          <w:numId w:val="39"/>
        </w:numPr>
        <w:spacing w:after="0" w:line="276" w:lineRule="auto"/>
        <w:ind w:left="357" w:hanging="357"/>
        <w:jc w:val="both"/>
        <w:rPr>
          <w:color w:val="auto"/>
        </w:rPr>
      </w:pPr>
      <w:r w:rsidRPr="00945FDF">
        <w:rPr>
          <w:color w:val="auto"/>
        </w:rPr>
        <w:t>Terapia intensiva: +32 (+7%)</w:t>
      </w:r>
    </w:p>
    <w:p w:rsidR="00945FDF" w:rsidRPr="00945FDF" w:rsidRDefault="00945FDF" w:rsidP="00945FDF">
      <w:pPr>
        <w:pStyle w:val="Paragrafoelenco"/>
        <w:numPr>
          <w:ilvl w:val="0"/>
          <w:numId w:val="39"/>
        </w:numPr>
        <w:spacing w:after="0" w:line="276" w:lineRule="auto"/>
        <w:ind w:left="357" w:hanging="357"/>
        <w:jc w:val="both"/>
        <w:rPr>
          <w:color w:val="auto"/>
        </w:rPr>
      </w:pPr>
      <w:r w:rsidRPr="00945FDF">
        <w:rPr>
          <w:color w:val="auto"/>
        </w:rPr>
        <w:t>Ricoverati con sintomi: +771 (+8,6%)</w:t>
      </w:r>
    </w:p>
    <w:p w:rsidR="00945FDF" w:rsidRPr="00945FDF" w:rsidRDefault="00945FDF" w:rsidP="00945FDF">
      <w:pPr>
        <w:pStyle w:val="Paragrafoelenco"/>
        <w:numPr>
          <w:ilvl w:val="0"/>
          <w:numId w:val="39"/>
        </w:numPr>
        <w:spacing w:after="0" w:line="276" w:lineRule="auto"/>
        <w:ind w:left="357" w:hanging="357"/>
        <w:jc w:val="both"/>
        <w:rPr>
          <w:color w:val="auto"/>
        </w:rPr>
      </w:pPr>
      <w:r w:rsidRPr="00945FDF">
        <w:rPr>
          <w:color w:val="auto"/>
        </w:rPr>
        <w:t>Isolamento domiciliare: +65.468 (+5,5%)</w:t>
      </w:r>
    </w:p>
    <w:p w:rsidR="00945FDF" w:rsidRPr="00945FDF" w:rsidRDefault="00945FDF" w:rsidP="00945FDF">
      <w:pPr>
        <w:pStyle w:val="Paragrafoelenco"/>
        <w:numPr>
          <w:ilvl w:val="0"/>
          <w:numId w:val="39"/>
        </w:numPr>
        <w:spacing w:after="0" w:line="276" w:lineRule="auto"/>
        <w:ind w:left="357" w:hanging="357"/>
        <w:jc w:val="both"/>
        <w:rPr>
          <w:color w:val="auto"/>
        </w:rPr>
      </w:pPr>
      <w:r w:rsidRPr="00945FDF">
        <w:rPr>
          <w:color w:val="auto"/>
        </w:rPr>
        <w:t>Nuovi casi: 504.487 (+0,3%)</w:t>
      </w:r>
    </w:p>
    <w:p w:rsidR="00945FDF" w:rsidRPr="00945FDF" w:rsidRDefault="00945FDF" w:rsidP="00945FDF">
      <w:pPr>
        <w:pStyle w:val="Paragrafoelenco"/>
        <w:numPr>
          <w:ilvl w:val="0"/>
          <w:numId w:val="39"/>
        </w:numPr>
        <w:spacing w:line="276" w:lineRule="auto"/>
        <w:jc w:val="both"/>
        <w:rPr>
          <w:color w:val="auto"/>
        </w:rPr>
      </w:pPr>
      <w:r w:rsidRPr="00945FDF">
        <w:rPr>
          <w:color w:val="auto"/>
        </w:rPr>
        <w:t>Casi attualmente positivi: +66.271 (+5,5%)</w:t>
      </w:r>
    </w:p>
    <w:p w:rsidR="00C13A5D" w:rsidRPr="00A16713" w:rsidRDefault="00FA4320" w:rsidP="00C13A5D">
      <w:pPr>
        <w:spacing w:line="276" w:lineRule="auto"/>
        <w:jc w:val="both"/>
        <w:rPr>
          <w:color w:val="FF0000"/>
        </w:rPr>
      </w:pPr>
      <w:r w:rsidRPr="00A16713">
        <w:rPr>
          <w:b/>
          <w:color w:val="auto"/>
        </w:rPr>
        <w:t xml:space="preserve">Nuovi casi. </w:t>
      </w:r>
      <w:r w:rsidRPr="00A16713">
        <w:rPr>
          <w:color w:val="auto"/>
        </w:rPr>
        <w:t>«</w:t>
      </w:r>
      <w:r w:rsidR="00A16713" w:rsidRPr="00A16713">
        <w:rPr>
          <w:color w:val="auto"/>
        </w:rPr>
        <w:t>Dopo due settimane di netto incremento</w:t>
      </w:r>
      <w:r w:rsidR="007D3167">
        <w:rPr>
          <w:color w:val="auto"/>
        </w:rPr>
        <w:t xml:space="preserve"> </w:t>
      </w:r>
      <w:r w:rsidRPr="00A16713">
        <w:rPr>
          <w:color w:val="auto"/>
        </w:rPr>
        <w:t>– dichiara Nino Cartabellotta, Presidente della Fondazione GIMBE –</w:t>
      </w:r>
      <w:r w:rsidR="00A16713" w:rsidRPr="00A16713">
        <w:rPr>
          <w:color w:val="auto"/>
        </w:rPr>
        <w:t xml:space="preserve"> </w:t>
      </w:r>
      <w:r w:rsidR="003D7565" w:rsidRPr="00A16713">
        <w:rPr>
          <w:color w:val="auto"/>
        </w:rPr>
        <w:t>i</w:t>
      </w:r>
      <w:r w:rsidR="00B92911" w:rsidRPr="00A16713">
        <w:rPr>
          <w:color w:val="auto"/>
        </w:rPr>
        <w:t xml:space="preserve"> </w:t>
      </w:r>
      <w:r w:rsidR="005200F6" w:rsidRPr="00A16713">
        <w:rPr>
          <w:color w:val="auto"/>
        </w:rPr>
        <w:t>nuovi casi settimanali</w:t>
      </w:r>
      <w:r w:rsidR="00A16713" w:rsidRPr="00A16713">
        <w:rPr>
          <w:color w:val="auto"/>
        </w:rPr>
        <w:t xml:space="preserve"> </w:t>
      </w:r>
      <w:r w:rsidR="007D3167">
        <w:rPr>
          <w:color w:val="auto"/>
        </w:rPr>
        <w:t>sembrano essersi</w:t>
      </w:r>
      <w:r w:rsidR="00A16713" w:rsidRPr="00A16713">
        <w:rPr>
          <w:color w:val="auto"/>
        </w:rPr>
        <w:t xml:space="preserve"> stabilizzati</w:t>
      </w:r>
      <w:r w:rsidRPr="00A16713">
        <w:rPr>
          <w:color w:val="auto"/>
        </w:rPr>
        <w:t xml:space="preserve"> intorno </w:t>
      </w:r>
      <w:r w:rsidRPr="00C13A5D">
        <w:rPr>
          <w:color w:val="auto"/>
        </w:rPr>
        <w:t xml:space="preserve">a </w:t>
      </w:r>
      <w:r w:rsidR="00DB70BE" w:rsidRPr="00C13A5D">
        <w:rPr>
          <w:color w:val="auto"/>
        </w:rPr>
        <w:t xml:space="preserve">quota </w:t>
      </w:r>
      <w:r w:rsidR="0095508A" w:rsidRPr="00C13A5D">
        <w:rPr>
          <w:color w:val="auto"/>
        </w:rPr>
        <w:t>500</w:t>
      </w:r>
      <w:r w:rsidR="00B92911" w:rsidRPr="00C13A5D">
        <w:rPr>
          <w:color w:val="auto"/>
        </w:rPr>
        <w:t xml:space="preserve"> mila, con un incremento del</w:t>
      </w:r>
      <w:r w:rsidR="00C13A5D" w:rsidRPr="00C13A5D">
        <w:rPr>
          <w:color w:val="auto"/>
        </w:rPr>
        <w:t>lo</w:t>
      </w:r>
      <w:r w:rsidR="00B92911" w:rsidRPr="00C13A5D">
        <w:rPr>
          <w:color w:val="auto"/>
        </w:rPr>
        <w:t xml:space="preserve"> </w:t>
      </w:r>
      <w:r w:rsidR="00C13A5D" w:rsidRPr="00C13A5D">
        <w:rPr>
          <w:color w:val="auto"/>
        </w:rPr>
        <w:t>0</w:t>
      </w:r>
      <w:r w:rsidRPr="00C13A5D">
        <w:rPr>
          <w:color w:val="auto"/>
        </w:rPr>
        <w:t>,</w:t>
      </w:r>
      <w:r w:rsidR="00C13A5D" w:rsidRPr="00C13A5D">
        <w:rPr>
          <w:color w:val="auto"/>
        </w:rPr>
        <w:t>3</w:t>
      </w:r>
      <w:r w:rsidRPr="00C13A5D">
        <w:rPr>
          <w:color w:val="auto"/>
        </w:rPr>
        <w:t xml:space="preserve">% e una media mobile a 7 giorni che </w:t>
      </w:r>
      <w:r w:rsidR="00C13A5D" w:rsidRPr="00C13A5D">
        <w:rPr>
          <w:color w:val="auto"/>
        </w:rPr>
        <w:t>r</w:t>
      </w:r>
      <w:r w:rsidR="00A16713">
        <w:rPr>
          <w:color w:val="auto"/>
        </w:rPr>
        <w:t xml:space="preserve">imane ferma </w:t>
      </w:r>
      <w:r w:rsidR="00C13A5D" w:rsidRPr="00C13A5D">
        <w:rPr>
          <w:color w:val="auto"/>
        </w:rPr>
        <w:t xml:space="preserve">intorno ai 72 </w:t>
      </w:r>
      <w:r w:rsidR="008E50A0" w:rsidRPr="00C13A5D">
        <w:rPr>
          <w:color w:val="auto"/>
        </w:rPr>
        <w:t>mila</w:t>
      </w:r>
      <w:r w:rsidR="00C13A5D" w:rsidRPr="00C13A5D">
        <w:rPr>
          <w:color w:val="auto"/>
        </w:rPr>
        <w:t xml:space="preserve"> casi</w:t>
      </w:r>
      <w:r w:rsidR="00A16713">
        <w:rPr>
          <w:color w:val="auto"/>
        </w:rPr>
        <w:t xml:space="preserve">. </w:t>
      </w:r>
      <w:r w:rsidR="007D3167">
        <w:rPr>
          <w:color w:val="auto"/>
        </w:rPr>
        <w:t xml:space="preserve">Tuttavia </w:t>
      </w:r>
      <w:r w:rsidR="00A16713">
        <w:rPr>
          <w:color w:val="auto"/>
        </w:rPr>
        <w:t xml:space="preserve">in questo momento è difficile fare previsioni, sia per l’eterogenea situazione </w:t>
      </w:r>
      <w:r w:rsidR="007D3167">
        <w:rPr>
          <w:color w:val="auto"/>
        </w:rPr>
        <w:t xml:space="preserve">a livello </w:t>
      </w:r>
      <w:r w:rsidR="00A16713">
        <w:rPr>
          <w:color w:val="auto"/>
        </w:rPr>
        <w:t xml:space="preserve">regionale, sia perché </w:t>
      </w:r>
      <w:r w:rsidR="00506825">
        <w:rPr>
          <w:color w:val="auto"/>
        </w:rPr>
        <w:t xml:space="preserve">nelle </w:t>
      </w:r>
      <w:r w:rsidR="00A16713">
        <w:rPr>
          <w:color w:val="auto"/>
        </w:rPr>
        <w:t>grandi Regioni del Nord</w:t>
      </w:r>
      <w:r w:rsidR="007D3167">
        <w:rPr>
          <w:color w:val="auto"/>
        </w:rPr>
        <w:t>,</w:t>
      </w:r>
      <w:r w:rsidR="00A16713">
        <w:rPr>
          <w:color w:val="auto"/>
        </w:rPr>
        <w:t xml:space="preserve"> dove risiede oltre un terzo della popolazione italiana</w:t>
      </w:r>
      <w:r w:rsidR="007D3167">
        <w:rPr>
          <w:color w:val="auto"/>
        </w:rPr>
        <w:t>,</w:t>
      </w:r>
      <w:r w:rsidR="00A16713">
        <w:rPr>
          <w:color w:val="auto"/>
        </w:rPr>
        <w:t xml:space="preserve"> non </w:t>
      </w:r>
      <w:r w:rsidR="00506825">
        <w:rPr>
          <w:color w:val="auto"/>
        </w:rPr>
        <w:t xml:space="preserve">si vedono </w:t>
      </w:r>
      <w:r w:rsidR="007D3167">
        <w:rPr>
          <w:color w:val="auto"/>
        </w:rPr>
        <w:t>al momento</w:t>
      </w:r>
      <w:r w:rsidR="00A16713">
        <w:rPr>
          <w:color w:val="auto"/>
        </w:rPr>
        <w:t xml:space="preserve"> segnali di consistente circolazione virale</w:t>
      </w:r>
      <w:r w:rsidRPr="00C13A5D">
        <w:rPr>
          <w:color w:val="auto"/>
        </w:rPr>
        <w:t>»</w:t>
      </w:r>
      <w:r w:rsidR="003D7565" w:rsidRPr="00C13A5D">
        <w:rPr>
          <w:color w:val="auto"/>
        </w:rPr>
        <w:t xml:space="preserve"> </w:t>
      </w:r>
      <w:r w:rsidRPr="00C13A5D">
        <w:rPr>
          <w:color w:val="auto"/>
        </w:rPr>
        <w:t>(</w:t>
      </w:r>
      <w:r w:rsidRPr="00C13A5D">
        <w:rPr>
          <w:color w:val="auto"/>
          <w:highlight w:val="yellow"/>
        </w:rPr>
        <w:t>figura 4</w:t>
      </w:r>
      <w:r w:rsidRPr="00C13A5D">
        <w:rPr>
          <w:color w:val="auto"/>
        </w:rPr>
        <w:t>).</w:t>
      </w:r>
      <w:r w:rsidR="00A16713">
        <w:rPr>
          <w:color w:val="FF0000"/>
        </w:rPr>
        <w:t xml:space="preserve"> </w:t>
      </w:r>
      <w:r w:rsidR="00A16713">
        <w:rPr>
          <w:color w:val="auto"/>
        </w:rPr>
        <w:t>Infatti, n</w:t>
      </w:r>
      <w:r w:rsidR="00AC37CB" w:rsidRPr="00C13A5D">
        <w:rPr>
          <w:color w:val="auto"/>
        </w:rPr>
        <w:t xml:space="preserve">ella </w:t>
      </w:r>
      <w:r w:rsidR="008568BE" w:rsidRPr="00C13A5D">
        <w:rPr>
          <w:color w:val="auto"/>
        </w:rPr>
        <w:t xml:space="preserve">settimana </w:t>
      </w:r>
      <w:r w:rsidR="00C13A5D" w:rsidRPr="00C13A5D">
        <w:rPr>
          <w:color w:val="auto"/>
        </w:rPr>
        <w:t>23</w:t>
      </w:r>
      <w:r w:rsidR="00B92911" w:rsidRPr="00C13A5D">
        <w:rPr>
          <w:color w:val="auto"/>
        </w:rPr>
        <w:t>-</w:t>
      </w:r>
      <w:r w:rsidR="00C13A5D" w:rsidRPr="00C13A5D">
        <w:rPr>
          <w:color w:val="auto"/>
        </w:rPr>
        <w:t>29</w:t>
      </w:r>
      <w:r w:rsidR="0093429F" w:rsidRPr="00C13A5D">
        <w:rPr>
          <w:color w:val="auto"/>
        </w:rPr>
        <w:t xml:space="preserve"> marzo</w:t>
      </w:r>
      <w:r w:rsidR="00EA4C24" w:rsidRPr="00C13A5D">
        <w:rPr>
          <w:color w:val="auto"/>
        </w:rPr>
        <w:t xml:space="preserve"> </w:t>
      </w:r>
      <w:r w:rsidR="00036D6B" w:rsidRPr="00C13A5D">
        <w:rPr>
          <w:color w:val="auto"/>
        </w:rPr>
        <w:t xml:space="preserve">si </w:t>
      </w:r>
      <w:r w:rsidR="00EA4C24" w:rsidRPr="00C13A5D">
        <w:rPr>
          <w:color w:val="auto"/>
        </w:rPr>
        <w:t xml:space="preserve">rileva </w:t>
      </w:r>
      <w:r w:rsidR="004B6A39" w:rsidRPr="00C13A5D">
        <w:rPr>
          <w:color w:val="auto"/>
        </w:rPr>
        <w:t>un</w:t>
      </w:r>
      <w:r w:rsidR="00D07DCA" w:rsidRPr="00C13A5D">
        <w:rPr>
          <w:color w:val="auto"/>
        </w:rPr>
        <w:t xml:space="preserve"> incremento </w:t>
      </w:r>
      <w:r w:rsidR="008568BE" w:rsidRPr="00C13A5D">
        <w:rPr>
          <w:color w:val="auto"/>
        </w:rPr>
        <w:t>p</w:t>
      </w:r>
      <w:r w:rsidR="00ED6992" w:rsidRPr="00C13A5D">
        <w:rPr>
          <w:color w:val="auto"/>
        </w:rPr>
        <w:t>ercentuale dei nuovi casi</w:t>
      </w:r>
      <w:r w:rsidR="00D07DCA" w:rsidRPr="00C13A5D">
        <w:rPr>
          <w:color w:val="auto"/>
        </w:rPr>
        <w:t xml:space="preserve"> in </w:t>
      </w:r>
      <w:r w:rsidR="00C13A5D" w:rsidRPr="00C13A5D">
        <w:rPr>
          <w:color w:val="auto"/>
        </w:rPr>
        <w:t xml:space="preserve">10 </w:t>
      </w:r>
      <w:r w:rsidR="00D07DCA" w:rsidRPr="00C13A5D">
        <w:rPr>
          <w:color w:val="auto"/>
        </w:rPr>
        <w:t>Regioni</w:t>
      </w:r>
      <w:r w:rsidR="00C13A5D" w:rsidRPr="00C13A5D">
        <w:rPr>
          <w:color w:val="auto"/>
        </w:rPr>
        <w:t xml:space="preserve"> e un decremento in 11</w:t>
      </w:r>
      <w:r w:rsidR="00044EB9" w:rsidRPr="00C13A5D">
        <w:rPr>
          <w:color w:val="auto"/>
        </w:rPr>
        <w:t>:</w:t>
      </w:r>
      <w:r w:rsidR="00911864" w:rsidRPr="00C13A5D">
        <w:rPr>
          <w:color w:val="auto"/>
        </w:rPr>
        <w:t xml:space="preserve"> </w:t>
      </w:r>
      <w:r w:rsidR="00B32A3E" w:rsidRPr="00C13A5D">
        <w:rPr>
          <w:color w:val="auto"/>
        </w:rPr>
        <w:t>da</w:t>
      </w:r>
      <w:r w:rsidR="00911864" w:rsidRPr="00C13A5D">
        <w:rPr>
          <w:color w:val="auto"/>
        </w:rPr>
        <w:t>l</w:t>
      </w:r>
      <w:r w:rsidR="00B03FFD" w:rsidRPr="00C13A5D">
        <w:rPr>
          <w:color w:val="auto"/>
        </w:rPr>
        <w:t xml:space="preserve"> </w:t>
      </w:r>
      <w:r w:rsidR="00611AD3" w:rsidRPr="00C13A5D">
        <w:rPr>
          <w:color w:val="auto"/>
        </w:rPr>
        <w:t>+17,</w:t>
      </w:r>
      <w:r w:rsidR="00C13A5D" w:rsidRPr="00C13A5D">
        <w:rPr>
          <w:color w:val="auto"/>
        </w:rPr>
        <w:t>8% della Provincia Autonoma di Trento</w:t>
      </w:r>
      <w:r w:rsidR="007D3167">
        <w:rPr>
          <w:color w:val="auto"/>
        </w:rPr>
        <w:t xml:space="preserve"> al </w:t>
      </w:r>
      <w:r w:rsidR="007D3167" w:rsidRPr="00C13A5D">
        <w:rPr>
          <w:color w:val="auto"/>
        </w:rPr>
        <w:t>-</w:t>
      </w:r>
      <w:r w:rsidR="007D3167">
        <w:rPr>
          <w:color w:val="auto"/>
        </w:rPr>
        <w:t>16</w:t>
      </w:r>
      <w:r w:rsidR="007D3167" w:rsidRPr="00C13A5D">
        <w:rPr>
          <w:color w:val="auto"/>
        </w:rPr>
        <w:t xml:space="preserve">% </w:t>
      </w:r>
      <w:r w:rsidR="007D3167">
        <w:rPr>
          <w:color w:val="auto"/>
        </w:rPr>
        <w:t xml:space="preserve">dell’Umbria </w:t>
      </w:r>
      <w:r w:rsidR="008568BE" w:rsidRPr="00C13A5D">
        <w:rPr>
          <w:color w:val="auto"/>
        </w:rPr>
        <w:t>(</w:t>
      </w:r>
      <w:r w:rsidR="008568BE" w:rsidRPr="00C13A5D">
        <w:rPr>
          <w:color w:val="auto"/>
          <w:highlight w:val="yellow"/>
        </w:rPr>
        <w:t>tabella 1</w:t>
      </w:r>
      <w:r w:rsidR="008568BE" w:rsidRPr="00C13A5D">
        <w:rPr>
          <w:color w:val="auto"/>
        </w:rPr>
        <w:t>).</w:t>
      </w:r>
      <w:r w:rsidR="00D74F90" w:rsidRPr="00C13A5D">
        <w:rPr>
          <w:color w:val="auto"/>
        </w:rPr>
        <w:t xml:space="preserve"> </w:t>
      </w:r>
      <w:r w:rsidR="009A6947" w:rsidRPr="00C13A5D">
        <w:rPr>
          <w:color w:val="auto"/>
        </w:rPr>
        <w:t xml:space="preserve">In </w:t>
      </w:r>
      <w:r w:rsidR="00C13A5D" w:rsidRPr="00C13A5D">
        <w:rPr>
          <w:color w:val="auto"/>
        </w:rPr>
        <w:t>55</w:t>
      </w:r>
      <w:r w:rsidR="00913182" w:rsidRPr="00C13A5D">
        <w:rPr>
          <w:color w:val="auto"/>
        </w:rPr>
        <w:t xml:space="preserve"> </w:t>
      </w:r>
      <w:r w:rsidR="009A6947" w:rsidRPr="00C13A5D">
        <w:rPr>
          <w:color w:val="auto"/>
        </w:rPr>
        <w:t>Province</w:t>
      </w:r>
      <w:r w:rsidR="00C13A5D" w:rsidRPr="00C13A5D">
        <w:rPr>
          <w:color w:val="auto"/>
        </w:rPr>
        <w:t xml:space="preserve"> </w:t>
      </w:r>
      <w:r w:rsidR="009A6947" w:rsidRPr="00C13A5D">
        <w:rPr>
          <w:color w:val="auto"/>
        </w:rPr>
        <w:t>si registra un incremento percentuale dei nuovi casi rispetto alla settimana precedente</w:t>
      </w:r>
      <w:r w:rsidR="00C13A5D" w:rsidRPr="00C13A5D">
        <w:rPr>
          <w:color w:val="auto"/>
        </w:rPr>
        <w:t>, in 52 un decremento</w:t>
      </w:r>
      <w:r w:rsidR="009A6947" w:rsidRPr="00C13A5D">
        <w:rPr>
          <w:color w:val="auto"/>
        </w:rPr>
        <w:t xml:space="preserve">. </w:t>
      </w:r>
      <w:r w:rsidR="00C13A5D" w:rsidRPr="00C13A5D">
        <w:rPr>
          <w:color w:val="auto"/>
        </w:rPr>
        <w:t>Scendono da 38</w:t>
      </w:r>
      <w:r w:rsidR="005200F6" w:rsidRPr="00C13A5D">
        <w:rPr>
          <w:color w:val="auto"/>
        </w:rPr>
        <w:t xml:space="preserve"> </w:t>
      </w:r>
      <w:r w:rsidR="00D07DCA" w:rsidRPr="00C13A5D">
        <w:rPr>
          <w:color w:val="auto"/>
        </w:rPr>
        <w:t xml:space="preserve">a </w:t>
      </w:r>
      <w:r w:rsidR="0022308F" w:rsidRPr="00C13A5D">
        <w:rPr>
          <w:color w:val="auto"/>
        </w:rPr>
        <w:t>3</w:t>
      </w:r>
      <w:r w:rsidR="00C13A5D" w:rsidRPr="00C13A5D">
        <w:rPr>
          <w:color w:val="auto"/>
        </w:rPr>
        <w:t>4</w:t>
      </w:r>
      <w:r w:rsidR="00A5060E" w:rsidRPr="00C13A5D">
        <w:rPr>
          <w:color w:val="auto"/>
        </w:rPr>
        <w:t xml:space="preserve"> le Province </w:t>
      </w:r>
      <w:r w:rsidR="008C7A58" w:rsidRPr="00C13A5D">
        <w:rPr>
          <w:color w:val="auto"/>
        </w:rPr>
        <w:t xml:space="preserve">con </w:t>
      </w:r>
      <w:r w:rsidR="008C7A58" w:rsidRPr="00C13A5D">
        <w:rPr>
          <w:color w:val="auto"/>
        </w:rPr>
        <w:lastRenderedPageBreak/>
        <w:t>incidenza superiore a</w:t>
      </w:r>
      <w:r w:rsidR="00A5060E" w:rsidRPr="00C13A5D">
        <w:rPr>
          <w:color w:val="auto"/>
        </w:rPr>
        <w:t xml:space="preserve"> </w:t>
      </w:r>
      <w:r w:rsidR="0091168C" w:rsidRPr="00C13A5D">
        <w:rPr>
          <w:color w:val="auto"/>
        </w:rPr>
        <w:t>1.000</w:t>
      </w:r>
      <w:r w:rsidR="00A5060E" w:rsidRPr="00C13A5D">
        <w:rPr>
          <w:color w:val="auto"/>
        </w:rPr>
        <w:t xml:space="preserve"> casi per 100.000 abitanti</w:t>
      </w:r>
      <w:r w:rsidR="00D07DCA" w:rsidRPr="00C13A5D">
        <w:rPr>
          <w:color w:val="auto"/>
        </w:rPr>
        <w:t>:</w:t>
      </w:r>
      <w:r w:rsidR="0093429F" w:rsidRPr="00C13A5D">
        <w:rPr>
          <w:color w:val="auto"/>
        </w:rPr>
        <w:t xml:space="preserve"> </w:t>
      </w:r>
      <w:r w:rsidR="00C13A5D" w:rsidRPr="00C13A5D">
        <w:rPr>
          <w:color w:val="auto"/>
        </w:rPr>
        <w:t>Lecce (1.774), Avellino (1.457), Perugia (1.372), Reggio di Calabria (1.354), Messina (1.353), Crotone (1.351), Teramo (1.321), Ascoli Piceno (1.313), Bari (1.308), Rieti (1.303), Benevento (1.272), Potenza (1.241), Fermo (1.226), Brindisi (1.190), Lucca (1.172), Terni (1.162), Latina (1.133), Massa Carrara (1.128), Grosseto (1.113), Chieti (1.113), L'Aquila (1.106), Frosinone (1.103), Siena (1.090), Ancona (1.087), Padova (1.076), Taranto (1.073), Vibo Valentia (1.064), Foggia (1.057), Caserta (1.050), Livorno (1.047), Agrigento (1.044), Arezzo (1.019), Salerno (1.011) e Matera (1.004) (</w:t>
      </w:r>
      <w:r w:rsidR="00C13A5D" w:rsidRPr="00C13A5D">
        <w:rPr>
          <w:color w:val="auto"/>
          <w:highlight w:val="yellow"/>
        </w:rPr>
        <w:t>tabella 2</w:t>
      </w:r>
      <w:r w:rsidR="00C13A5D" w:rsidRPr="00C13A5D">
        <w:rPr>
          <w:color w:val="auto"/>
        </w:rPr>
        <w:t>).</w:t>
      </w:r>
    </w:p>
    <w:p w:rsidR="00C13A5D" w:rsidRDefault="00C13A5D" w:rsidP="008D2843">
      <w:pPr>
        <w:spacing w:line="276" w:lineRule="auto"/>
        <w:jc w:val="both"/>
        <w:rPr>
          <w:color w:val="auto"/>
        </w:rPr>
      </w:pPr>
      <w:r w:rsidRPr="00C13A5D">
        <w:rPr>
          <w:b/>
          <w:color w:val="auto"/>
        </w:rPr>
        <w:t>Testing.</w:t>
      </w:r>
      <w:r w:rsidRPr="00C13A5D">
        <w:rPr>
          <w:color w:val="auto"/>
        </w:rPr>
        <w:t xml:space="preserve"> Si registra un </w:t>
      </w:r>
      <w:r w:rsidR="007D3167">
        <w:rPr>
          <w:color w:val="auto"/>
        </w:rPr>
        <w:t xml:space="preserve">lieve </w:t>
      </w:r>
      <w:r w:rsidRPr="00C13A5D">
        <w:rPr>
          <w:color w:val="auto"/>
        </w:rPr>
        <w:t>aumento del numero dei tamponi totali (+3,2%): da 3.220.105 della settimana 16-22 marzo 2022 a 3.323.770 della settimana 23-29 marzo 2022</w:t>
      </w:r>
      <w:r>
        <w:rPr>
          <w:color w:val="auto"/>
        </w:rPr>
        <w:t xml:space="preserve">. In particolare i </w:t>
      </w:r>
      <w:r w:rsidRPr="00C13A5D">
        <w:rPr>
          <w:color w:val="auto"/>
        </w:rPr>
        <w:t xml:space="preserve">tamponi rapidi </w:t>
      </w:r>
      <w:r>
        <w:rPr>
          <w:color w:val="auto"/>
        </w:rPr>
        <w:t xml:space="preserve">sono aumentati del 4,1% </w:t>
      </w:r>
      <w:r w:rsidRPr="00C13A5D">
        <w:rPr>
          <w:color w:val="auto"/>
        </w:rPr>
        <w:t xml:space="preserve">(+104.158) </w:t>
      </w:r>
      <w:r>
        <w:rPr>
          <w:color w:val="auto"/>
        </w:rPr>
        <w:t xml:space="preserve">mentre quelli </w:t>
      </w:r>
      <w:r w:rsidRPr="00C13A5D">
        <w:rPr>
          <w:color w:val="auto"/>
        </w:rPr>
        <w:t xml:space="preserve">molecolari </w:t>
      </w:r>
      <w:r>
        <w:rPr>
          <w:color w:val="auto"/>
        </w:rPr>
        <w:t>sono diminuiti dell</w:t>
      </w:r>
      <w:r w:rsidR="00513780">
        <w:rPr>
          <w:color w:val="auto"/>
        </w:rPr>
        <w:t>o 0,</w:t>
      </w:r>
      <w:r>
        <w:rPr>
          <w:color w:val="auto"/>
        </w:rPr>
        <w:t xml:space="preserve">1% </w:t>
      </w:r>
      <w:r w:rsidRPr="00C13A5D">
        <w:rPr>
          <w:color w:val="auto"/>
        </w:rPr>
        <w:t>(-493) (</w:t>
      </w:r>
      <w:r w:rsidRPr="00C13A5D">
        <w:rPr>
          <w:color w:val="auto"/>
          <w:highlight w:val="yellow"/>
        </w:rPr>
        <w:t>figura 5</w:t>
      </w:r>
      <w:r w:rsidRPr="00C13A5D">
        <w:rPr>
          <w:color w:val="auto"/>
        </w:rPr>
        <w:t xml:space="preserve">). La media mobile a 7 giorni del tasso di positività dei tamponi molecolari </w:t>
      </w:r>
      <w:r>
        <w:rPr>
          <w:color w:val="auto"/>
        </w:rPr>
        <w:t xml:space="preserve">è stabile al </w:t>
      </w:r>
      <w:r w:rsidRPr="00C13A5D">
        <w:rPr>
          <w:color w:val="auto"/>
        </w:rPr>
        <w:t>13,</w:t>
      </w:r>
      <w:r>
        <w:rPr>
          <w:color w:val="auto"/>
        </w:rPr>
        <w:t>4</w:t>
      </w:r>
      <w:r w:rsidRPr="00C13A5D">
        <w:rPr>
          <w:color w:val="auto"/>
        </w:rPr>
        <w:t>%</w:t>
      </w:r>
      <w:r>
        <w:rPr>
          <w:color w:val="auto"/>
        </w:rPr>
        <w:t>, mentre quella degli antigenici rapidi</w:t>
      </w:r>
      <w:r w:rsidRPr="00C13A5D">
        <w:rPr>
          <w:color w:val="auto"/>
        </w:rPr>
        <w:t xml:space="preserve"> si riduce dal 16,2% al 15,</w:t>
      </w:r>
      <w:r>
        <w:rPr>
          <w:color w:val="auto"/>
        </w:rPr>
        <w:t>7</w:t>
      </w:r>
      <w:r w:rsidRPr="00C13A5D">
        <w:rPr>
          <w:color w:val="auto"/>
        </w:rPr>
        <w:t>% (</w:t>
      </w:r>
      <w:r w:rsidRPr="00C13A5D">
        <w:rPr>
          <w:color w:val="auto"/>
          <w:highlight w:val="yellow"/>
        </w:rPr>
        <w:t>figura 6</w:t>
      </w:r>
      <w:r w:rsidRPr="00C13A5D">
        <w:rPr>
          <w:color w:val="auto"/>
        </w:rPr>
        <w:t>).</w:t>
      </w:r>
    </w:p>
    <w:p w:rsidR="00696979" w:rsidRPr="000A0380" w:rsidRDefault="00C27708" w:rsidP="00500148">
      <w:pPr>
        <w:spacing w:line="276" w:lineRule="auto"/>
        <w:jc w:val="both"/>
        <w:rPr>
          <w:color w:val="FF0000"/>
        </w:rPr>
      </w:pPr>
      <w:bookmarkStart w:id="0" w:name="_Hlk85025666"/>
      <w:r w:rsidRPr="00C26FE5">
        <w:rPr>
          <w:b/>
          <w:color w:val="auto"/>
        </w:rPr>
        <w:t xml:space="preserve">Ospedalizzazioni. </w:t>
      </w:r>
      <w:r w:rsidR="002348FC" w:rsidRPr="00C26FE5">
        <w:rPr>
          <w:color w:val="auto"/>
        </w:rPr>
        <w:t>«</w:t>
      </w:r>
      <w:r w:rsidR="003120AF" w:rsidRPr="00C26FE5">
        <w:rPr>
          <w:color w:val="auto"/>
        </w:rPr>
        <w:t>Sul fronte degli</w:t>
      </w:r>
      <w:r w:rsidR="00932E57" w:rsidRPr="00C26FE5">
        <w:rPr>
          <w:color w:val="auto"/>
        </w:rPr>
        <w:t xml:space="preserve"> </w:t>
      </w:r>
      <w:r w:rsidR="002723FF" w:rsidRPr="00C26FE5">
        <w:rPr>
          <w:color w:val="auto"/>
        </w:rPr>
        <w:t>ospedali</w:t>
      </w:r>
      <w:r w:rsidR="00974518" w:rsidRPr="00C26FE5">
        <w:rPr>
          <w:color w:val="auto"/>
        </w:rPr>
        <w:t xml:space="preserve"> </w:t>
      </w:r>
      <w:r w:rsidR="00582BAE" w:rsidRPr="00C26FE5">
        <w:rPr>
          <w:color w:val="auto"/>
        </w:rPr>
        <w:t xml:space="preserve">– </w:t>
      </w:r>
      <w:r w:rsidR="002348FC" w:rsidRPr="00C26FE5">
        <w:rPr>
          <w:color w:val="auto"/>
        </w:rPr>
        <w:t xml:space="preserve">afferma Renata </w:t>
      </w:r>
      <w:proofErr w:type="spellStart"/>
      <w:r w:rsidR="002348FC" w:rsidRPr="00C26FE5">
        <w:rPr>
          <w:color w:val="auto"/>
        </w:rPr>
        <w:t>Gili</w:t>
      </w:r>
      <w:proofErr w:type="spellEnd"/>
      <w:r w:rsidR="002348FC" w:rsidRPr="00C26FE5">
        <w:rPr>
          <w:color w:val="auto"/>
        </w:rPr>
        <w:t>, responsabile Ricerca sui Servizi S</w:t>
      </w:r>
      <w:r w:rsidR="00EE5241" w:rsidRPr="00C26FE5">
        <w:rPr>
          <w:color w:val="auto"/>
        </w:rPr>
        <w:t>anitari della Fondazione GIMBE</w:t>
      </w:r>
      <w:r w:rsidR="00B813D5" w:rsidRPr="00C26FE5">
        <w:rPr>
          <w:color w:val="auto"/>
        </w:rPr>
        <w:t xml:space="preserve"> –</w:t>
      </w:r>
      <w:r w:rsidR="00A3302D" w:rsidRPr="00C26FE5">
        <w:rPr>
          <w:color w:val="auto"/>
        </w:rPr>
        <w:t xml:space="preserve"> </w:t>
      </w:r>
      <w:r w:rsidR="00A90702" w:rsidRPr="00C26FE5">
        <w:rPr>
          <w:color w:val="auto"/>
        </w:rPr>
        <w:t>si rileva un</w:t>
      </w:r>
      <w:r w:rsidR="00414E88">
        <w:rPr>
          <w:color w:val="auto"/>
        </w:rPr>
        <w:t>’</w:t>
      </w:r>
      <w:r w:rsidR="00396D1B" w:rsidRPr="00C26FE5">
        <w:rPr>
          <w:color w:val="auto"/>
        </w:rPr>
        <w:t xml:space="preserve">inversione di tendenza nei </w:t>
      </w:r>
      <w:r w:rsidR="00894BA6" w:rsidRPr="00C26FE5">
        <w:rPr>
          <w:color w:val="auto"/>
        </w:rPr>
        <w:t xml:space="preserve">posti letto occupati da pazienti COVID </w:t>
      </w:r>
      <w:r w:rsidR="00297DEB" w:rsidRPr="00C26FE5">
        <w:rPr>
          <w:color w:val="auto"/>
        </w:rPr>
        <w:t xml:space="preserve">in </w:t>
      </w:r>
      <w:r w:rsidR="00A51B01" w:rsidRPr="00C26FE5">
        <w:rPr>
          <w:color w:val="auto"/>
        </w:rPr>
        <w:t>terapia intensiva</w:t>
      </w:r>
      <w:r w:rsidR="00396D1B" w:rsidRPr="00C26FE5">
        <w:rPr>
          <w:color w:val="auto"/>
        </w:rPr>
        <w:t xml:space="preserve"> (+7</w:t>
      </w:r>
      <w:r w:rsidR="00385142" w:rsidRPr="00C26FE5">
        <w:rPr>
          <w:color w:val="auto"/>
        </w:rPr>
        <w:t>%)</w:t>
      </w:r>
      <w:r w:rsidR="002B0A30" w:rsidRPr="00C26FE5">
        <w:rPr>
          <w:color w:val="auto"/>
        </w:rPr>
        <w:t xml:space="preserve"> </w:t>
      </w:r>
      <w:r w:rsidR="00414E88">
        <w:rPr>
          <w:color w:val="auto"/>
        </w:rPr>
        <w:t>e</w:t>
      </w:r>
      <w:r w:rsidR="00414E88" w:rsidRPr="00C26FE5">
        <w:rPr>
          <w:color w:val="auto"/>
        </w:rPr>
        <w:t xml:space="preserve"> </w:t>
      </w:r>
      <w:r w:rsidR="00396D1B" w:rsidRPr="00C26FE5">
        <w:rPr>
          <w:color w:val="auto"/>
        </w:rPr>
        <w:t xml:space="preserve">prosegue </w:t>
      </w:r>
      <w:r w:rsidR="00C26FE5" w:rsidRPr="00C26FE5">
        <w:rPr>
          <w:color w:val="auto"/>
        </w:rPr>
        <w:t xml:space="preserve">l’incremento dei </w:t>
      </w:r>
      <w:r w:rsidR="002D4262" w:rsidRPr="00C26FE5">
        <w:rPr>
          <w:color w:val="auto"/>
        </w:rPr>
        <w:t xml:space="preserve">ricoveri </w:t>
      </w:r>
      <w:r w:rsidR="003F28D2" w:rsidRPr="00C26FE5">
        <w:rPr>
          <w:color w:val="auto"/>
        </w:rPr>
        <w:t>in area medica (+</w:t>
      </w:r>
      <w:r w:rsidR="00C26FE5" w:rsidRPr="00C26FE5">
        <w:rPr>
          <w:color w:val="auto"/>
        </w:rPr>
        <w:t>8</w:t>
      </w:r>
      <w:r w:rsidR="002B0A30" w:rsidRPr="00C26FE5">
        <w:rPr>
          <w:color w:val="auto"/>
        </w:rPr>
        <w:t>,</w:t>
      </w:r>
      <w:r w:rsidR="00C26FE5" w:rsidRPr="00C26FE5">
        <w:rPr>
          <w:color w:val="auto"/>
        </w:rPr>
        <w:t>6</w:t>
      </w:r>
      <w:r w:rsidR="002B0A30" w:rsidRPr="00C26FE5">
        <w:rPr>
          <w:color w:val="auto"/>
        </w:rPr>
        <w:t>%)</w:t>
      </w:r>
      <w:r w:rsidR="00A51B01" w:rsidRPr="00C26FE5">
        <w:rPr>
          <w:color w:val="auto"/>
        </w:rPr>
        <w:t>»</w:t>
      </w:r>
      <w:r w:rsidR="000A422E" w:rsidRPr="00C26FE5">
        <w:rPr>
          <w:color w:val="auto"/>
        </w:rPr>
        <w:t xml:space="preserve">. </w:t>
      </w:r>
      <w:r w:rsidR="00B813D5" w:rsidRPr="00C26FE5">
        <w:rPr>
          <w:color w:val="auto"/>
        </w:rPr>
        <w:t xml:space="preserve">In particolare, in </w:t>
      </w:r>
      <w:r w:rsidR="00904498" w:rsidRPr="00C26FE5">
        <w:rPr>
          <w:color w:val="auto"/>
        </w:rPr>
        <w:t>area critica</w:t>
      </w:r>
      <w:r w:rsidR="00376E88" w:rsidRPr="00C26FE5">
        <w:rPr>
          <w:color w:val="auto"/>
        </w:rPr>
        <w:t xml:space="preserve"> </w:t>
      </w:r>
      <w:r w:rsidR="00B243A0">
        <w:rPr>
          <w:color w:val="auto"/>
        </w:rPr>
        <w:t xml:space="preserve">dal minimo di </w:t>
      </w:r>
      <w:r w:rsidR="00C26FE5" w:rsidRPr="00C26FE5">
        <w:rPr>
          <w:color w:val="auto"/>
        </w:rPr>
        <w:t>447</w:t>
      </w:r>
      <w:r w:rsidR="00CD2BF7" w:rsidRPr="00C26FE5">
        <w:rPr>
          <w:color w:val="auto"/>
        </w:rPr>
        <w:t xml:space="preserve"> </w:t>
      </w:r>
      <w:r w:rsidR="00913182" w:rsidRPr="00C26FE5">
        <w:rPr>
          <w:color w:val="auto"/>
        </w:rPr>
        <w:t xml:space="preserve">il </w:t>
      </w:r>
      <w:r w:rsidR="00C26FE5" w:rsidRPr="00C26FE5">
        <w:rPr>
          <w:color w:val="auto"/>
        </w:rPr>
        <w:t>24</w:t>
      </w:r>
      <w:r w:rsidR="0093429F" w:rsidRPr="00C26FE5">
        <w:rPr>
          <w:color w:val="auto"/>
        </w:rPr>
        <w:t xml:space="preserve"> marzo</w:t>
      </w:r>
      <w:r w:rsidR="00C26FE5" w:rsidRPr="00C26FE5">
        <w:rPr>
          <w:color w:val="auto"/>
        </w:rPr>
        <w:t xml:space="preserve"> </w:t>
      </w:r>
      <w:r w:rsidR="00B243A0">
        <w:rPr>
          <w:color w:val="auto"/>
        </w:rPr>
        <w:t>i posti letto occupati sono risaliti</w:t>
      </w:r>
      <w:r w:rsidR="00C26FE5" w:rsidRPr="00C26FE5">
        <w:rPr>
          <w:color w:val="auto"/>
        </w:rPr>
        <w:t xml:space="preserve"> a 487 il 29 marzo</w:t>
      </w:r>
      <w:r w:rsidR="00376E88" w:rsidRPr="00C26FE5">
        <w:rPr>
          <w:color w:val="auto"/>
        </w:rPr>
        <w:t>; in area medica</w:t>
      </w:r>
      <w:r w:rsidR="00F54086" w:rsidRPr="00C26FE5">
        <w:rPr>
          <w:color w:val="auto"/>
        </w:rPr>
        <w:t>, invece,</w:t>
      </w:r>
      <w:r w:rsidR="00376E88" w:rsidRPr="00C26FE5">
        <w:rPr>
          <w:color w:val="auto"/>
        </w:rPr>
        <w:t xml:space="preserve"> </w:t>
      </w:r>
      <w:r w:rsidR="007F1FA7" w:rsidRPr="00C26FE5">
        <w:rPr>
          <w:color w:val="auto"/>
        </w:rPr>
        <w:t xml:space="preserve">dopo aver toccato il minimo di </w:t>
      </w:r>
      <w:r w:rsidR="002B0A30" w:rsidRPr="00C26FE5">
        <w:rPr>
          <w:color w:val="auto"/>
        </w:rPr>
        <w:t>8.234 il 12 marzo</w:t>
      </w:r>
      <w:r w:rsidR="007F1FA7" w:rsidRPr="00C26FE5">
        <w:rPr>
          <w:color w:val="auto"/>
        </w:rPr>
        <w:t xml:space="preserve">, </w:t>
      </w:r>
      <w:r w:rsidR="00F54086" w:rsidRPr="00C26FE5">
        <w:rPr>
          <w:color w:val="auto"/>
        </w:rPr>
        <w:t>sono risaliti a</w:t>
      </w:r>
      <w:r w:rsidR="007F1FA7" w:rsidRPr="00C26FE5">
        <w:rPr>
          <w:color w:val="auto"/>
        </w:rPr>
        <w:t xml:space="preserve"> quota </w:t>
      </w:r>
      <w:r w:rsidR="00C26FE5" w:rsidRPr="00C26FE5">
        <w:rPr>
          <w:color w:val="auto"/>
        </w:rPr>
        <w:t>9.740</w:t>
      </w:r>
      <w:r w:rsidR="00F41F65" w:rsidRPr="00C26FE5">
        <w:rPr>
          <w:color w:val="auto"/>
        </w:rPr>
        <w:t xml:space="preserve"> </w:t>
      </w:r>
      <w:r w:rsidR="00913182" w:rsidRPr="00C26FE5">
        <w:rPr>
          <w:color w:val="auto"/>
        </w:rPr>
        <w:t xml:space="preserve">il </w:t>
      </w:r>
      <w:r w:rsidR="00C26FE5" w:rsidRPr="00C26FE5">
        <w:rPr>
          <w:color w:val="auto"/>
        </w:rPr>
        <w:t>29</w:t>
      </w:r>
      <w:r w:rsidR="00913182" w:rsidRPr="00C26FE5">
        <w:rPr>
          <w:color w:val="auto"/>
        </w:rPr>
        <w:t xml:space="preserve"> </w:t>
      </w:r>
      <w:r w:rsidR="0093429F" w:rsidRPr="00C26FE5">
        <w:rPr>
          <w:color w:val="auto"/>
        </w:rPr>
        <w:t xml:space="preserve">marzo </w:t>
      </w:r>
      <w:r w:rsidR="008B58B8" w:rsidRPr="00C26FE5">
        <w:rPr>
          <w:color w:val="auto"/>
        </w:rPr>
        <w:t>(</w:t>
      </w:r>
      <w:r w:rsidR="008B58B8" w:rsidRPr="00C26FE5">
        <w:rPr>
          <w:color w:val="auto"/>
          <w:highlight w:val="yellow"/>
        </w:rPr>
        <w:t xml:space="preserve">figura </w:t>
      </w:r>
      <w:r w:rsidR="00061647" w:rsidRPr="00C26FE5">
        <w:rPr>
          <w:color w:val="auto"/>
          <w:highlight w:val="yellow"/>
        </w:rPr>
        <w:t>7</w:t>
      </w:r>
      <w:r w:rsidR="008B58B8" w:rsidRPr="00C26FE5">
        <w:rPr>
          <w:color w:val="auto"/>
        </w:rPr>
        <w:t>)</w:t>
      </w:r>
      <w:r w:rsidR="00297DEB" w:rsidRPr="00C26FE5">
        <w:rPr>
          <w:color w:val="auto"/>
        </w:rPr>
        <w:t>.</w:t>
      </w:r>
      <w:r w:rsidR="00E74FB2" w:rsidRPr="00C26FE5">
        <w:rPr>
          <w:color w:val="auto"/>
        </w:rPr>
        <w:t xml:space="preserve"> </w:t>
      </w:r>
      <w:r w:rsidR="00913182" w:rsidRPr="00C26FE5">
        <w:rPr>
          <w:color w:val="auto"/>
        </w:rPr>
        <w:t xml:space="preserve">Al </w:t>
      </w:r>
      <w:r w:rsidR="00C26FE5" w:rsidRPr="00C26FE5">
        <w:rPr>
          <w:color w:val="auto"/>
        </w:rPr>
        <w:t>29</w:t>
      </w:r>
      <w:r w:rsidR="0093429F" w:rsidRPr="00C26FE5">
        <w:rPr>
          <w:color w:val="auto"/>
        </w:rPr>
        <w:t xml:space="preserve"> marzo</w:t>
      </w:r>
      <w:r w:rsidR="00894BA6" w:rsidRPr="00C26FE5">
        <w:rPr>
          <w:color w:val="auto"/>
        </w:rPr>
        <w:t xml:space="preserve"> </w:t>
      </w:r>
      <w:r w:rsidR="002348FC" w:rsidRPr="00C26FE5">
        <w:rPr>
          <w:color w:val="auto"/>
        </w:rPr>
        <w:t xml:space="preserve">il tasso </w:t>
      </w:r>
      <w:r w:rsidR="00894BA6" w:rsidRPr="00C26FE5">
        <w:rPr>
          <w:color w:val="auto"/>
        </w:rPr>
        <w:t xml:space="preserve">nazionale </w:t>
      </w:r>
      <w:r w:rsidR="002348FC" w:rsidRPr="00C26FE5">
        <w:rPr>
          <w:color w:val="auto"/>
        </w:rPr>
        <w:t xml:space="preserve">di occupazione </w:t>
      </w:r>
      <w:r w:rsidR="004C18D7" w:rsidRPr="00C26FE5">
        <w:rPr>
          <w:color w:val="auto"/>
        </w:rPr>
        <w:t xml:space="preserve">da parte di pazienti COVID </w:t>
      </w:r>
      <w:r w:rsidR="002348FC" w:rsidRPr="00C26FE5">
        <w:rPr>
          <w:color w:val="auto"/>
        </w:rPr>
        <w:t xml:space="preserve">è </w:t>
      </w:r>
      <w:r w:rsidR="005278CA" w:rsidRPr="00C26FE5">
        <w:rPr>
          <w:color w:val="auto"/>
        </w:rPr>
        <w:t>del</w:t>
      </w:r>
      <w:r w:rsidR="00393F63" w:rsidRPr="00C26FE5">
        <w:rPr>
          <w:color w:val="auto"/>
        </w:rPr>
        <w:t xml:space="preserve"> </w:t>
      </w:r>
      <w:r w:rsidR="00C26FE5" w:rsidRPr="00C26FE5">
        <w:rPr>
          <w:color w:val="auto"/>
        </w:rPr>
        <w:t>15</w:t>
      </w:r>
      <w:r w:rsidR="002E37EA" w:rsidRPr="00C26FE5">
        <w:rPr>
          <w:color w:val="auto"/>
        </w:rPr>
        <w:t>% in area medica e del</w:t>
      </w:r>
      <w:r w:rsidR="00FF2D69" w:rsidRPr="00C26FE5">
        <w:rPr>
          <w:color w:val="auto"/>
        </w:rPr>
        <w:t xml:space="preserve"> </w:t>
      </w:r>
      <w:r w:rsidR="00C26FE5" w:rsidRPr="00C26FE5">
        <w:rPr>
          <w:color w:val="auto"/>
        </w:rPr>
        <w:t>5</w:t>
      </w:r>
      <w:r w:rsidR="002348FC" w:rsidRPr="00C26FE5">
        <w:rPr>
          <w:color w:val="auto"/>
        </w:rPr>
        <w:t>% in area critica</w:t>
      </w:r>
      <w:bookmarkEnd w:id="0"/>
      <w:r w:rsidR="00C26FE5" w:rsidRPr="00C26FE5">
        <w:rPr>
          <w:color w:val="auto"/>
        </w:rPr>
        <w:t>, in lieve aumento rispetto alla settimana precedente</w:t>
      </w:r>
      <w:r w:rsidR="00C97388" w:rsidRPr="00C26FE5">
        <w:rPr>
          <w:color w:val="auto"/>
        </w:rPr>
        <w:t>.</w:t>
      </w:r>
      <w:r w:rsidR="00341691" w:rsidRPr="00C26FE5">
        <w:rPr>
          <w:color w:val="auto"/>
        </w:rPr>
        <w:t xml:space="preserve"> </w:t>
      </w:r>
      <w:r w:rsidR="00C26FE5" w:rsidRPr="00C26FE5">
        <w:rPr>
          <w:color w:val="auto"/>
        </w:rPr>
        <w:t xml:space="preserve">13 Regioni </w:t>
      </w:r>
      <w:r w:rsidR="00341691" w:rsidRPr="00C26FE5">
        <w:rPr>
          <w:color w:val="auto"/>
        </w:rPr>
        <w:t>superano la soglia del 15% in area medica</w:t>
      </w:r>
      <w:r w:rsidR="00B80EAA" w:rsidRPr="00C26FE5">
        <w:rPr>
          <w:color w:val="auto"/>
        </w:rPr>
        <w:t>,</w:t>
      </w:r>
      <w:r w:rsidR="00913182" w:rsidRPr="00C26FE5">
        <w:rPr>
          <w:color w:val="auto"/>
        </w:rPr>
        <w:t xml:space="preserve"> con la </w:t>
      </w:r>
      <w:r w:rsidR="003874D0" w:rsidRPr="00C26FE5">
        <w:rPr>
          <w:color w:val="auto"/>
        </w:rPr>
        <w:t xml:space="preserve">Regione Calabria che </w:t>
      </w:r>
      <w:r w:rsidR="00A16713">
        <w:rPr>
          <w:color w:val="auto"/>
        </w:rPr>
        <w:t xml:space="preserve">arriva </w:t>
      </w:r>
      <w:r w:rsidR="00414E88">
        <w:rPr>
          <w:color w:val="auto"/>
        </w:rPr>
        <w:t xml:space="preserve">a toccare quota </w:t>
      </w:r>
      <w:r w:rsidR="003874D0" w:rsidRPr="00C26FE5">
        <w:rPr>
          <w:color w:val="auto"/>
        </w:rPr>
        <w:t>34</w:t>
      </w:r>
      <w:r w:rsidR="00C26FE5" w:rsidRPr="00C26FE5">
        <w:rPr>
          <w:color w:val="auto"/>
        </w:rPr>
        <w:t>,1</w:t>
      </w:r>
      <w:r w:rsidR="00913182" w:rsidRPr="00C26FE5">
        <w:rPr>
          <w:color w:val="auto"/>
        </w:rPr>
        <w:t>%</w:t>
      </w:r>
      <w:r w:rsidR="005354A9" w:rsidRPr="00C26FE5">
        <w:rPr>
          <w:color w:val="auto"/>
        </w:rPr>
        <w:t xml:space="preserve">; </w:t>
      </w:r>
      <w:r w:rsidR="00C26FE5" w:rsidRPr="00C26FE5">
        <w:rPr>
          <w:color w:val="auto"/>
        </w:rPr>
        <w:t xml:space="preserve">Calabria e Sardegna superano </w:t>
      </w:r>
      <w:r w:rsidR="00341691" w:rsidRPr="00C26FE5">
        <w:rPr>
          <w:color w:val="auto"/>
        </w:rPr>
        <w:t xml:space="preserve">la soglia del 10% in </w:t>
      </w:r>
      <w:r w:rsidR="007F1FA7" w:rsidRPr="00C26FE5">
        <w:rPr>
          <w:color w:val="auto"/>
        </w:rPr>
        <w:t xml:space="preserve">terapia intensiva </w:t>
      </w:r>
      <w:r w:rsidR="004B6DC2" w:rsidRPr="00C26FE5">
        <w:rPr>
          <w:color w:val="auto"/>
        </w:rPr>
        <w:t>(</w:t>
      </w:r>
      <w:r w:rsidR="004B6DC2" w:rsidRPr="00C26FE5">
        <w:rPr>
          <w:color w:val="auto"/>
          <w:highlight w:val="yellow"/>
        </w:rPr>
        <w:t xml:space="preserve">figura </w:t>
      </w:r>
      <w:r w:rsidR="00061647" w:rsidRPr="00C26FE5">
        <w:rPr>
          <w:color w:val="auto"/>
          <w:highlight w:val="yellow"/>
        </w:rPr>
        <w:t>8</w:t>
      </w:r>
      <w:r w:rsidR="004B6DC2" w:rsidRPr="00C26FE5">
        <w:rPr>
          <w:color w:val="auto"/>
        </w:rPr>
        <w:t>)</w:t>
      </w:r>
      <w:r w:rsidR="00341691" w:rsidRPr="00C26FE5">
        <w:rPr>
          <w:color w:val="auto"/>
        </w:rPr>
        <w:t>.</w:t>
      </w:r>
      <w:r w:rsidR="008D2843" w:rsidRPr="00C26FE5">
        <w:rPr>
          <w:color w:val="auto"/>
        </w:rPr>
        <w:t xml:space="preserve"> </w:t>
      </w:r>
      <w:r w:rsidR="00BD67DE" w:rsidRPr="00C26FE5">
        <w:rPr>
          <w:color w:val="auto"/>
        </w:rPr>
        <w:t>«</w:t>
      </w:r>
      <w:r w:rsidR="00A16713">
        <w:rPr>
          <w:color w:val="auto"/>
        </w:rPr>
        <w:t xml:space="preserve">Di fatto </w:t>
      </w:r>
      <w:r w:rsidR="00C26FE5" w:rsidRPr="00C26FE5">
        <w:rPr>
          <w:color w:val="auto"/>
        </w:rPr>
        <w:t xml:space="preserve">stabile </w:t>
      </w:r>
      <w:r w:rsidR="00451468" w:rsidRPr="00C26FE5">
        <w:rPr>
          <w:color w:val="auto"/>
        </w:rPr>
        <w:t>– puntualizza Marco Mosti, Direttore Operativo della Fondazione GIMBE –</w:t>
      </w:r>
      <w:r w:rsidR="00D74F90" w:rsidRPr="00C26FE5">
        <w:rPr>
          <w:color w:val="auto"/>
        </w:rPr>
        <w:t xml:space="preserve"> </w:t>
      </w:r>
      <w:r w:rsidR="00A90702" w:rsidRPr="00C26FE5">
        <w:rPr>
          <w:color w:val="auto"/>
        </w:rPr>
        <w:t>il numero degli ingressi giornalieri in terapia intensiva</w:t>
      </w:r>
      <w:r w:rsidR="007F1FA7" w:rsidRPr="00C26FE5">
        <w:rPr>
          <w:color w:val="auto"/>
        </w:rPr>
        <w:t>:</w:t>
      </w:r>
      <w:r w:rsidR="00A90702" w:rsidRPr="00C26FE5">
        <w:rPr>
          <w:color w:val="auto"/>
        </w:rPr>
        <w:t xml:space="preserve"> </w:t>
      </w:r>
      <w:r w:rsidR="00443A0B" w:rsidRPr="00C26FE5">
        <w:rPr>
          <w:color w:val="auto"/>
        </w:rPr>
        <w:t xml:space="preserve">la </w:t>
      </w:r>
      <w:r w:rsidR="00BD67DE" w:rsidRPr="00C26FE5">
        <w:rPr>
          <w:color w:val="auto"/>
        </w:rPr>
        <w:t xml:space="preserve">media mobile a 7 giorni </w:t>
      </w:r>
      <w:r w:rsidR="00913182" w:rsidRPr="00C26FE5">
        <w:rPr>
          <w:color w:val="auto"/>
        </w:rPr>
        <w:t>si attesta</w:t>
      </w:r>
      <w:r w:rsidR="00615C81" w:rsidRPr="00C26FE5">
        <w:rPr>
          <w:color w:val="auto"/>
        </w:rPr>
        <w:t xml:space="preserve"> </w:t>
      </w:r>
      <w:r w:rsidR="007F1FA7" w:rsidRPr="00C26FE5">
        <w:rPr>
          <w:color w:val="auto"/>
        </w:rPr>
        <w:t xml:space="preserve">infatti </w:t>
      </w:r>
      <w:r w:rsidR="004D49EC" w:rsidRPr="00C26FE5">
        <w:rPr>
          <w:color w:val="auto"/>
        </w:rPr>
        <w:t>a</w:t>
      </w:r>
      <w:r w:rsidR="00F41F65" w:rsidRPr="00C26FE5">
        <w:rPr>
          <w:color w:val="auto"/>
        </w:rPr>
        <w:t xml:space="preserve"> </w:t>
      </w:r>
      <w:r w:rsidR="00C26FE5" w:rsidRPr="00C26FE5">
        <w:rPr>
          <w:color w:val="auto"/>
        </w:rPr>
        <w:t>45</w:t>
      </w:r>
      <w:r w:rsidR="004D49EC" w:rsidRPr="00C26FE5">
        <w:rPr>
          <w:color w:val="auto"/>
        </w:rPr>
        <w:t xml:space="preserve"> </w:t>
      </w:r>
      <w:r w:rsidR="00547F28" w:rsidRPr="00C26FE5">
        <w:rPr>
          <w:color w:val="auto"/>
        </w:rPr>
        <w:t xml:space="preserve">ingressi/die </w:t>
      </w:r>
      <w:r w:rsidR="004D49EC" w:rsidRPr="00C26FE5">
        <w:rPr>
          <w:color w:val="auto"/>
        </w:rPr>
        <w:t>ris</w:t>
      </w:r>
      <w:r w:rsidR="00127096" w:rsidRPr="00C26FE5">
        <w:rPr>
          <w:color w:val="auto"/>
        </w:rPr>
        <w:t xml:space="preserve">petto </w:t>
      </w:r>
      <w:r w:rsidR="00C34550" w:rsidRPr="00C26FE5">
        <w:rPr>
          <w:color w:val="auto"/>
        </w:rPr>
        <w:t xml:space="preserve">ai </w:t>
      </w:r>
      <w:r w:rsidR="00C26FE5" w:rsidRPr="00C26FE5">
        <w:rPr>
          <w:color w:val="auto"/>
        </w:rPr>
        <w:t>42</w:t>
      </w:r>
      <w:r w:rsidR="00696979" w:rsidRPr="00C26FE5">
        <w:rPr>
          <w:color w:val="auto"/>
        </w:rPr>
        <w:t xml:space="preserve"> </w:t>
      </w:r>
      <w:r w:rsidR="004D49EC" w:rsidRPr="00C26FE5">
        <w:rPr>
          <w:color w:val="auto"/>
        </w:rPr>
        <w:t>della settimana precedente</w:t>
      </w:r>
      <w:r w:rsidR="00D42AAE" w:rsidRPr="00C26FE5">
        <w:rPr>
          <w:color w:val="auto"/>
        </w:rPr>
        <w:t>»</w:t>
      </w:r>
      <w:r w:rsidR="00BD67DE" w:rsidRPr="00C26FE5">
        <w:rPr>
          <w:color w:val="auto"/>
        </w:rPr>
        <w:t xml:space="preserve"> (</w:t>
      </w:r>
      <w:r w:rsidR="00BD67DE" w:rsidRPr="00C26FE5">
        <w:rPr>
          <w:color w:val="auto"/>
          <w:highlight w:val="yellow"/>
        </w:rPr>
        <w:t>figura</w:t>
      </w:r>
      <w:r w:rsidR="00C91686" w:rsidRPr="00C26FE5">
        <w:rPr>
          <w:color w:val="auto"/>
          <w:highlight w:val="yellow"/>
        </w:rPr>
        <w:t xml:space="preserve"> </w:t>
      </w:r>
      <w:r w:rsidR="00061647" w:rsidRPr="00C26FE5">
        <w:rPr>
          <w:color w:val="auto"/>
          <w:highlight w:val="yellow"/>
        </w:rPr>
        <w:t>9</w:t>
      </w:r>
      <w:r w:rsidR="00BD67DE" w:rsidRPr="00C26FE5">
        <w:rPr>
          <w:color w:val="auto"/>
        </w:rPr>
        <w:t>).</w:t>
      </w:r>
    </w:p>
    <w:p w:rsidR="00C26FE5" w:rsidRPr="00C26FE5" w:rsidRDefault="00483722" w:rsidP="00483722">
      <w:pPr>
        <w:jc w:val="both"/>
        <w:rPr>
          <w:color w:val="auto"/>
        </w:rPr>
      </w:pPr>
      <w:r w:rsidRPr="00C26FE5">
        <w:rPr>
          <w:b/>
          <w:color w:val="auto"/>
        </w:rPr>
        <w:t xml:space="preserve">Decessi. </w:t>
      </w:r>
      <w:r w:rsidR="00C26FE5" w:rsidRPr="00C26FE5">
        <w:rPr>
          <w:color w:val="auto"/>
        </w:rPr>
        <w:t xml:space="preserve">Dopo sei settimane consecutive </w:t>
      </w:r>
      <w:r w:rsidR="00B243A0">
        <w:rPr>
          <w:color w:val="auto"/>
        </w:rPr>
        <w:t>si arresta il caso dei decessi</w:t>
      </w:r>
      <w:r w:rsidR="00C26FE5" w:rsidRPr="00C26FE5">
        <w:rPr>
          <w:color w:val="auto"/>
        </w:rPr>
        <w:t>: 953 negli ultimi 7 giorni (di cui 64 riferiti a periodi precedenti), con una media di 136 al giorno rispetto ai 132 della settimana precedente.</w:t>
      </w:r>
    </w:p>
    <w:p w:rsidR="00FF200B" w:rsidRPr="001B4527" w:rsidRDefault="001B4527" w:rsidP="001B0254">
      <w:pPr>
        <w:jc w:val="both"/>
        <w:rPr>
          <w:color w:val="auto"/>
        </w:rPr>
      </w:pPr>
      <w:r w:rsidRPr="001B4527">
        <w:rPr>
          <w:b/>
          <w:color w:val="auto"/>
        </w:rPr>
        <w:t>Vaccini: somministrazioni.</w:t>
      </w:r>
      <w:r w:rsidRPr="001B4527">
        <w:rPr>
          <w:color w:val="auto"/>
        </w:rPr>
        <w:t xml:space="preserve"> Al 30 marzo (aggiornamento ore 06.18) </w:t>
      </w:r>
      <w:r>
        <w:rPr>
          <w:color w:val="auto"/>
        </w:rPr>
        <w:t>l’</w:t>
      </w:r>
      <w:r w:rsidRPr="001B4527">
        <w:rPr>
          <w:color w:val="auto"/>
        </w:rPr>
        <w:t xml:space="preserve">85,6% della popolazione (n. 50.723.408) ha ricevuto almeno una dose di vaccino (+20.976 rispetto alla settimana precedente) e </w:t>
      </w:r>
      <w:r>
        <w:rPr>
          <w:color w:val="auto"/>
        </w:rPr>
        <w:t>l’</w:t>
      </w:r>
      <w:r w:rsidRPr="001B4527">
        <w:rPr>
          <w:color w:val="auto"/>
        </w:rPr>
        <w:t>83,9% (n. 49.744.767) ha completato il ciclo vaccinale (+56.309 rispetto alla settimana precedente) (</w:t>
      </w:r>
      <w:r w:rsidRPr="001B4527">
        <w:rPr>
          <w:color w:val="auto"/>
          <w:highlight w:val="yellow"/>
        </w:rPr>
        <w:t>figura 10</w:t>
      </w:r>
      <w:r w:rsidRPr="001B4527">
        <w:rPr>
          <w:color w:val="auto"/>
        </w:rPr>
        <w:t xml:space="preserve">). </w:t>
      </w:r>
      <w:r w:rsidR="00FF200B" w:rsidRPr="00FF200B">
        <w:rPr>
          <w:color w:val="auto"/>
        </w:rPr>
        <w:t xml:space="preserve">In </w:t>
      </w:r>
      <w:r w:rsidR="00FF200B">
        <w:rPr>
          <w:color w:val="auto"/>
        </w:rPr>
        <w:t xml:space="preserve">ulteriore </w:t>
      </w:r>
      <w:r w:rsidR="00FF200B" w:rsidRPr="00FF200B">
        <w:rPr>
          <w:color w:val="auto"/>
        </w:rPr>
        <w:t xml:space="preserve">calo nell’ultima settimana il numero di somministrazioni (n. 302.123), con una media mobile a 7 giorni di 43.160 somministrazioni/die: </w:t>
      </w:r>
      <w:r w:rsidR="00FF200B">
        <w:rPr>
          <w:color w:val="auto"/>
        </w:rPr>
        <w:t xml:space="preserve">si riducono </w:t>
      </w:r>
      <w:r w:rsidR="00FF200B" w:rsidRPr="00FF200B">
        <w:rPr>
          <w:color w:val="auto"/>
        </w:rPr>
        <w:t>del 14,1% le te</w:t>
      </w:r>
      <w:r w:rsidR="00FF200B">
        <w:rPr>
          <w:color w:val="auto"/>
        </w:rPr>
        <w:t xml:space="preserve">rze dosi (n. 233.722) e del </w:t>
      </w:r>
      <w:r w:rsidR="00FF200B" w:rsidRPr="00FF200B">
        <w:rPr>
          <w:color w:val="auto"/>
        </w:rPr>
        <w:t>21,9% i nuovi vaccinati (n. 14.697) (</w:t>
      </w:r>
      <w:r w:rsidR="00FF200B" w:rsidRPr="00FF200B">
        <w:rPr>
          <w:color w:val="auto"/>
          <w:highlight w:val="yellow"/>
        </w:rPr>
        <w:t>figura 11</w:t>
      </w:r>
      <w:r w:rsidR="00FF200B" w:rsidRPr="00FF200B">
        <w:rPr>
          <w:color w:val="auto"/>
        </w:rPr>
        <w:t>).</w:t>
      </w:r>
    </w:p>
    <w:p w:rsidR="00FF200B" w:rsidRPr="00FF200B" w:rsidRDefault="00FF200B" w:rsidP="00124C08">
      <w:pPr>
        <w:spacing w:line="276" w:lineRule="auto"/>
        <w:jc w:val="both"/>
        <w:rPr>
          <w:rFonts w:cs="Calibri"/>
          <w:color w:val="auto"/>
        </w:rPr>
      </w:pPr>
      <w:r w:rsidRPr="00FF200B">
        <w:rPr>
          <w:rFonts w:cs="Calibri"/>
          <w:b/>
          <w:color w:val="auto"/>
        </w:rPr>
        <w:t>Vaccini: coperture.</w:t>
      </w:r>
      <w:r w:rsidRPr="00FF200B">
        <w:rPr>
          <w:rFonts w:cs="Calibri"/>
          <w:color w:val="auto"/>
        </w:rPr>
        <w:t xml:space="preserve"> Le coperture con almeno una dose di vaccino sono molto variabili nelle diverse fasce d’età (dal 99,4% </w:t>
      </w:r>
      <w:r w:rsidR="00E7681F">
        <w:rPr>
          <w:rFonts w:cs="Calibri"/>
          <w:color w:val="auto"/>
        </w:rPr>
        <w:t>degli o</w:t>
      </w:r>
      <w:r w:rsidRPr="00FF200B">
        <w:rPr>
          <w:rFonts w:cs="Calibri"/>
          <w:color w:val="auto"/>
        </w:rPr>
        <w:t>ver</w:t>
      </w:r>
      <w:r w:rsidR="00E7681F">
        <w:rPr>
          <w:rFonts w:cs="Calibri"/>
          <w:color w:val="auto"/>
        </w:rPr>
        <w:t xml:space="preserve"> </w:t>
      </w:r>
      <w:r w:rsidRPr="00FF200B">
        <w:rPr>
          <w:rFonts w:cs="Calibri"/>
          <w:color w:val="auto"/>
        </w:rPr>
        <w:t xml:space="preserve">80 al 37,4% della fascia 5-11), così come sul fronte dei richiami, che negli over 80 hanno raggiunto </w:t>
      </w:r>
      <w:r w:rsidR="00E7681F">
        <w:rPr>
          <w:rFonts w:cs="Calibri"/>
          <w:color w:val="auto"/>
        </w:rPr>
        <w:t>l’</w:t>
      </w:r>
      <w:r w:rsidRPr="00FF200B">
        <w:rPr>
          <w:rFonts w:cs="Calibri"/>
          <w:color w:val="auto"/>
        </w:rPr>
        <w:t xml:space="preserve">88,9%, nella fascia 70-79 </w:t>
      </w:r>
      <w:r w:rsidR="00E7681F">
        <w:rPr>
          <w:rFonts w:cs="Calibri"/>
          <w:color w:val="auto"/>
        </w:rPr>
        <w:t>l’</w:t>
      </w:r>
      <w:r w:rsidRPr="00FF200B">
        <w:rPr>
          <w:rFonts w:cs="Calibri"/>
          <w:color w:val="auto"/>
        </w:rPr>
        <w:t xml:space="preserve">87,8% e in quella 60-69 anni </w:t>
      </w:r>
      <w:r w:rsidR="00E7681F">
        <w:rPr>
          <w:rFonts w:cs="Calibri"/>
          <w:color w:val="auto"/>
        </w:rPr>
        <w:t>l’</w:t>
      </w:r>
      <w:r w:rsidRPr="00FF200B">
        <w:rPr>
          <w:rFonts w:cs="Calibri"/>
          <w:color w:val="auto"/>
        </w:rPr>
        <w:t>84,6% (</w:t>
      </w:r>
      <w:r w:rsidRPr="00FF200B">
        <w:rPr>
          <w:rFonts w:cs="Calibri"/>
          <w:color w:val="auto"/>
          <w:highlight w:val="yellow"/>
        </w:rPr>
        <w:t>figura 12</w:t>
      </w:r>
      <w:r w:rsidRPr="00FF200B">
        <w:rPr>
          <w:rFonts w:cs="Calibri"/>
          <w:color w:val="auto"/>
        </w:rPr>
        <w:t>).</w:t>
      </w:r>
    </w:p>
    <w:p w:rsidR="00574EAE" w:rsidRPr="00FF200B" w:rsidRDefault="00B672EA" w:rsidP="00124C08">
      <w:pPr>
        <w:spacing w:line="276" w:lineRule="auto"/>
        <w:jc w:val="both"/>
        <w:rPr>
          <w:rFonts w:cs="Calibri"/>
          <w:b/>
          <w:color w:val="auto"/>
        </w:rPr>
      </w:pPr>
      <w:r w:rsidRPr="00FF200B">
        <w:rPr>
          <w:b/>
          <w:color w:val="auto"/>
        </w:rPr>
        <w:t xml:space="preserve">Vaccini: </w:t>
      </w:r>
      <w:r w:rsidR="003E293F" w:rsidRPr="00FF200B">
        <w:rPr>
          <w:b/>
          <w:color w:val="auto"/>
        </w:rPr>
        <w:t>nuovi vaccinati</w:t>
      </w:r>
      <w:r w:rsidRPr="00FF200B">
        <w:rPr>
          <w:b/>
          <w:color w:val="auto"/>
        </w:rPr>
        <w:t>.</w:t>
      </w:r>
      <w:r w:rsidRPr="00FF200B">
        <w:rPr>
          <w:color w:val="auto"/>
        </w:rPr>
        <w:t xml:space="preserve"> </w:t>
      </w:r>
      <w:r w:rsidR="00554F5B" w:rsidRPr="00FF200B">
        <w:rPr>
          <w:color w:val="auto"/>
        </w:rPr>
        <w:t>N</w:t>
      </w:r>
      <w:r w:rsidR="00F75D8A" w:rsidRPr="00FF200B">
        <w:rPr>
          <w:color w:val="auto"/>
        </w:rPr>
        <w:t>el</w:t>
      </w:r>
      <w:r w:rsidR="00554F5B" w:rsidRPr="00FF200B">
        <w:rPr>
          <w:color w:val="auto"/>
        </w:rPr>
        <w:t>la</w:t>
      </w:r>
      <w:r w:rsidR="00F75D8A" w:rsidRPr="00FF200B">
        <w:rPr>
          <w:color w:val="auto"/>
        </w:rPr>
        <w:t xml:space="preserve"> </w:t>
      </w:r>
      <w:r w:rsidR="00554F5B" w:rsidRPr="00FF200B">
        <w:rPr>
          <w:color w:val="auto"/>
        </w:rPr>
        <w:t xml:space="preserve">settimana </w:t>
      </w:r>
      <w:r w:rsidR="00FF200B" w:rsidRPr="00FF200B">
        <w:rPr>
          <w:color w:val="auto"/>
        </w:rPr>
        <w:t>23</w:t>
      </w:r>
      <w:r w:rsidR="00BA1894" w:rsidRPr="00FF200B">
        <w:rPr>
          <w:color w:val="auto"/>
        </w:rPr>
        <w:t>-</w:t>
      </w:r>
      <w:r w:rsidR="00FF200B" w:rsidRPr="00FF200B">
        <w:rPr>
          <w:color w:val="auto"/>
        </w:rPr>
        <w:t>29</w:t>
      </w:r>
      <w:r w:rsidR="002A2549" w:rsidRPr="00FF200B">
        <w:rPr>
          <w:color w:val="auto"/>
        </w:rPr>
        <w:t xml:space="preserve"> marzo</w:t>
      </w:r>
      <w:r w:rsidR="00F75D8A" w:rsidRPr="00FF200B">
        <w:rPr>
          <w:color w:val="auto"/>
        </w:rPr>
        <w:t xml:space="preserve"> </w:t>
      </w:r>
      <w:r w:rsidR="00E3038F" w:rsidRPr="00FF200B">
        <w:rPr>
          <w:color w:val="auto"/>
        </w:rPr>
        <w:t xml:space="preserve">si </w:t>
      </w:r>
      <w:r w:rsidR="008927DE" w:rsidRPr="00FF200B">
        <w:rPr>
          <w:color w:val="auto"/>
        </w:rPr>
        <w:t xml:space="preserve">registra un </w:t>
      </w:r>
      <w:r w:rsidR="00A61C84" w:rsidRPr="00FF200B">
        <w:rPr>
          <w:color w:val="auto"/>
        </w:rPr>
        <w:t xml:space="preserve">ulteriore calo </w:t>
      </w:r>
      <w:r w:rsidR="000C22FE" w:rsidRPr="00FF200B">
        <w:rPr>
          <w:color w:val="auto"/>
        </w:rPr>
        <w:t xml:space="preserve">dei nuovi vaccinati: </w:t>
      </w:r>
      <w:r w:rsidR="00FF200B" w:rsidRPr="00FF200B">
        <w:rPr>
          <w:color w:val="auto"/>
        </w:rPr>
        <w:t>14.697</w:t>
      </w:r>
      <w:r w:rsidR="00BA1894" w:rsidRPr="00FF200B">
        <w:rPr>
          <w:color w:val="auto"/>
        </w:rPr>
        <w:t xml:space="preserve"> </w:t>
      </w:r>
      <w:r w:rsidR="008574A0" w:rsidRPr="00FF200B">
        <w:rPr>
          <w:color w:val="auto"/>
        </w:rPr>
        <w:t xml:space="preserve">rispetto ai </w:t>
      </w:r>
      <w:r w:rsidR="00FF200B" w:rsidRPr="00FF200B">
        <w:rPr>
          <w:color w:val="auto"/>
        </w:rPr>
        <w:t>18.830</w:t>
      </w:r>
      <w:r w:rsidR="00BA1894" w:rsidRPr="00FF200B">
        <w:rPr>
          <w:color w:val="auto"/>
        </w:rPr>
        <w:t xml:space="preserve"> </w:t>
      </w:r>
      <w:r w:rsidR="00CB3BD4" w:rsidRPr="00FF200B">
        <w:rPr>
          <w:color w:val="auto"/>
        </w:rPr>
        <w:t>della settimana precedente</w:t>
      </w:r>
      <w:r w:rsidR="009D0C36" w:rsidRPr="00FF200B">
        <w:rPr>
          <w:color w:val="auto"/>
        </w:rPr>
        <w:t xml:space="preserve"> (-</w:t>
      </w:r>
      <w:r w:rsidR="003C0756" w:rsidRPr="00FF200B">
        <w:rPr>
          <w:color w:val="auto"/>
        </w:rPr>
        <w:t>2</w:t>
      </w:r>
      <w:r w:rsidR="00FF200B" w:rsidRPr="00FF200B">
        <w:rPr>
          <w:color w:val="auto"/>
        </w:rPr>
        <w:t>1</w:t>
      </w:r>
      <w:r w:rsidR="003C0756" w:rsidRPr="00FF200B">
        <w:rPr>
          <w:color w:val="auto"/>
        </w:rPr>
        <w:t>,</w:t>
      </w:r>
      <w:r w:rsidR="00FF200B" w:rsidRPr="00FF200B">
        <w:rPr>
          <w:color w:val="auto"/>
        </w:rPr>
        <w:t>9</w:t>
      </w:r>
      <w:r w:rsidR="009D0C36" w:rsidRPr="00FF200B">
        <w:rPr>
          <w:color w:val="auto"/>
        </w:rPr>
        <w:t>%)</w:t>
      </w:r>
      <w:r w:rsidR="00470CE3" w:rsidRPr="00FF200B">
        <w:rPr>
          <w:color w:val="auto"/>
        </w:rPr>
        <w:t xml:space="preserve">. </w:t>
      </w:r>
      <w:r w:rsidR="008927DE" w:rsidRPr="00FF200B">
        <w:rPr>
          <w:color w:val="auto"/>
        </w:rPr>
        <w:t xml:space="preserve">Di questi </w:t>
      </w:r>
      <w:r w:rsidR="007C7E75" w:rsidRPr="00FF200B">
        <w:rPr>
          <w:color w:val="auto"/>
        </w:rPr>
        <w:t xml:space="preserve">il </w:t>
      </w:r>
      <w:r w:rsidR="00FF200B" w:rsidRPr="00FF200B">
        <w:rPr>
          <w:color w:val="auto"/>
        </w:rPr>
        <w:t>24</w:t>
      </w:r>
      <w:r w:rsidR="00574EAE" w:rsidRPr="00FF200B">
        <w:rPr>
          <w:color w:val="auto"/>
        </w:rPr>
        <w:t>,</w:t>
      </w:r>
      <w:r w:rsidR="00FF200B" w:rsidRPr="00FF200B">
        <w:rPr>
          <w:color w:val="auto"/>
        </w:rPr>
        <w:t>8</w:t>
      </w:r>
      <w:r w:rsidR="007C7E75" w:rsidRPr="00FF200B">
        <w:rPr>
          <w:color w:val="auto"/>
        </w:rPr>
        <w:t>%</w:t>
      </w:r>
      <w:r w:rsidR="008927DE" w:rsidRPr="00FF200B">
        <w:rPr>
          <w:color w:val="auto"/>
        </w:rPr>
        <w:t xml:space="preserve"> è </w:t>
      </w:r>
      <w:r w:rsidR="00CD534A" w:rsidRPr="00FF200B">
        <w:rPr>
          <w:color w:val="auto"/>
        </w:rPr>
        <w:t xml:space="preserve">rappresentato </w:t>
      </w:r>
      <w:r w:rsidR="008927DE" w:rsidRPr="00FF200B">
        <w:rPr>
          <w:color w:val="auto"/>
        </w:rPr>
        <w:t xml:space="preserve">dalla </w:t>
      </w:r>
      <w:r w:rsidR="00E129D4" w:rsidRPr="00FF200B">
        <w:rPr>
          <w:color w:val="auto"/>
        </w:rPr>
        <w:t>fascia 5-11</w:t>
      </w:r>
      <w:r w:rsidR="0068557B" w:rsidRPr="00FF200B">
        <w:rPr>
          <w:color w:val="auto"/>
        </w:rPr>
        <w:t xml:space="preserve">: </w:t>
      </w:r>
      <w:r w:rsidR="009362CC" w:rsidRPr="00FF200B">
        <w:rPr>
          <w:color w:val="auto"/>
        </w:rPr>
        <w:t>3.</w:t>
      </w:r>
      <w:r w:rsidR="00FF200B" w:rsidRPr="00FF200B">
        <w:rPr>
          <w:color w:val="auto"/>
        </w:rPr>
        <w:t>642</w:t>
      </w:r>
      <w:r w:rsidR="00AD46ED" w:rsidRPr="00FF200B">
        <w:rPr>
          <w:color w:val="auto"/>
        </w:rPr>
        <w:t xml:space="preserve">, </w:t>
      </w:r>
      <w:r w:rsidR="00FF200B" w:rsidRPr="00FF200B">
        <w:rPr>
          <w:color w:val="auto"/>
        </w:rPr>
        <w:t>con un calo dell’8,5%</w:t>
      </w:r>
      <w:r w:rsidR="007C7E75" w:rsidRPr="00FF200B">
        <w:rPr>
          <w:color w:val="auto"/>
        </w:rPr>
        <w:t xml:space="preserve"> rispetto alla settimana precedente</w:t>
      </w:r>
      <w:r w:rsidR="007F4EC6" w:rsidRPr="00FF200B">
        <w:rPr>
          <w:color w:val="auto"/>
        </w:rPr>
        <w:t>.</w:t>
      </w:r>
      <w:r w:rsidR="000C22FE" w:rsidRPr="00FF200B">
        <w:rPr>
          <w:color w:val="auto"/>
        </w:rPr>
        <w:t xml:space="preserve"> </w:t>
      </w:r>
      <w:r w:rsidR="00B243A0">
        <w:rPr>
          <w:color w:val="auto"/>
        </w:rPr>
        <w:t>Scende ancora t</w:t>
      </w:r>
      <w:r w:rsidR="00880B59" w:rsidRPr="00FF200B">
        <w:rPr>
          <w:color w:val="auto"/>
        </w:rPr>
        <w:t xml:space="preserve">ra </w:t>
      </w:r>
      <w:r w:rsidR="00F3347A" w:rsidRPr="00FF200B">
        <w:rPr>
          <w:color w:val="auto"/>
        </w:rPr>
        <w:t>gli over 50</w:t>
      </w:r>
      <w:r w:rsidR="0002125E">
        <w:rPr>
          <w:color w:val="auto"/>
        </w:rPr>
        <w:t>, più a rischio di malattia grave,</w:t>
      </w:r>
      <w:r w:rsidR="00F3347A" w:rsidRPr="00FF200B">
        <w:rPr>
          <w:color w:val="auto"/>
        </w:rPr>
        <w:t xml:space="preserve"> </w:t>
      </w:r>
      <w:r w:rsidR="00801454" w:rsidRPr="00FF200B">
        <w:rPr>
          <w:color w:val="auto"/>
        </w:rPr>
        <w:t>i</w:t>
      </w:r>
      <w:r w:rsidR="0084641B" w:rsidRPr="00FF200B">
        <w:rPr>
          <w:color w:val="auto"/>
        </w:rPr>
        <w:t>l numero di</w:t>
      </w:r>
      <w:r w:rsidR="00801454" w:rsidRPr="00FF200B">
        <w:rPr>
          <w:color w:val="auto"/>
        </w:rPr>
        <w:t xml:space="preserve"> nuovi vaccinati</w:t>
      </w:r>
      <w:r w:rsidR="00B243A0">
        <w:rPr>
          <w:color w:val="auto"/>
        </w:rPr>
        <w:t xml:space="preserve">, </w:t>
      </w:r>
      <w:r w:rsidR="00F3347A" w:rsidRPr="00FF200B">
        <w:rPr>
          <w:color w:val="auto"/>
        </w:rPr>
        <w:t xml:space="preserve">attestandosi a quota </w:t>
      </w:r>
      <w:r w:rsidR="00FF200B" w:rsidRPr="00FF200B">
        <w:rPr>
          <w:color w:val="auto"/>
        </w:rPr>
        <w:t>3.105</w:t>
      </w:r>
      <w:r w:rsidR="008F04B0" w:rsidRPr="00FF200B">
        <w:rPr>
          <w:color w:val="auto"/>
        </w:rPr>
        <w:t xml:space="preserve"> </w:t>
      </w:r>
      <w:r w:rsidR="00211923" w:rsidRPr="00FF200B">
        <w:rPr>
          <w:color w:val="auto"/>
        </w:rPr>
        <w:t>(-</w:t>
      </w:r>
      <w:r w:rsidR="00FF200B" w:rsidRPr="00FF200B">
        <w:rPr>
          <w:color w:val="auto"/>
        </w:rPr>
        <w:t>24</w:t>
      </w:r>
      <w:r w:rsidR="00BA1894" w:rsidRPr="00FF200B">
        <w:rPr>
          <w:color w:val="auto"/>
        </w:rPr>
        <w:t>,</w:t>
      </w:r>
      <w:r w:rsidR="00FF200B" w:rsidRPr="00FF200B">
        <w:rPr>
          <w:color w:val="auto"/>
        </w:rPr>
        <w:t>8</w:t>
      </w:r>
      <w:r w:rsidR="00431177" w:rsidRPr="00FF200B">
        <w:rPr>
          <w:color w:val="auto"/>
        </w:rPr>
        <w:t>% ris</w:t>
      </w:r>
      <w:r w:rsidR="007F4EC6" w:rsidRPr="00FF200B">
        <w:rPr>
          <w:color w:val="auto"/>
        </w:rPr>
        <w:t>petto alla settimana precedente</w:t>
      </w:r>
      <w:r w:rsidR="00F20059" w:rsidRPr="00FF200B">
        <w:rPr>
          <w:color w:val="auto"/>
        </w:rPr>
        <w:t>)</w:t>
      </w:r>
      <w:r w:rsidR="00431177" w:rsidRPr="00FF200B">
        <w:rPr>
          <w:color w:val="auto"/>
        </w:rPr>
        <w:t xml:space="preserve"> </w:t>
      </w:r>
      <w:r w:rsidR="008F04B0" w:rsidRPr="00FF200B">
        <w:rPr>
          <w:color w:val="auto"/>
        </w:rPr>
        <w:t>(</w:t>
      </w:r>
      <w:r w:rsidR="003D430C" w:rsidRPr="00FF200B">
        <w:rPr>
          <w:color w:val="auto"/>
          <w:highlight w:val="yellow"/>
        </w:rPr>
        <w:t>figure 13</w:t>
      </w:r>
      <w:r w:rsidR="00D022C4" w:rsidRPr="00FF200B">
        <w:rPr>
          <w:color w:val="auto"/>
          <w:highlight w:val="yellow"/>
        </w:rPr>
        <w:t xml:space="preserve"> e </w:t>
      </w:r>
      <w:r w:rsidR="008F04B0" w:rsidRPr="00FF200B">
        <w:rPr>
          <w:color w:val="auto"/>
          <w:highlight w:val="yellow"/>
        </w:rPr>
        <w:t>1</w:t>
      </w:r>
      <w:r w:rsidR="00061647" w:rsidRPr="00FF200B">
        <w:rPr>
          <w:color w:val="auto"/>
          <w:highlight w:val="yellow"/>
        </w:rPr>
        <w:t>4</w:t>
      </w:r>
      <w:r w:rsidR="008F04B0" w:rsidRPr="00FF200B">
        <w:rPr>
          <w:color w:val="auto"/>
        </w:rPr>
        <w:t>)</w:t>
      </w:r>
      <w:r w:rsidR="001C167C" w:rsidRPr="00FF200B">
        <w:rPr>
          <w:color w:val="auto"/>
        </w:rPr>
        <w:t>.</w:t>
      </w:r>
      <w:r w:rsidR="00FA4320" w:rsidRPr="00FF200B" w:rsidDel="00FA4320">
        <w:rPr>
          <w:color w:val="auto"/>
        </w:rPr>
        <w:t xml:space="preserve"> </w:t>
      </w:r>
    </w:p>
    <w:p w:rsidR="00B667E8" w:rsidRPr="00FF200B" w:rsidRDefault="006C515D" w:rsidP="000C2BD2">
      <w:pPr>
        <w:jc w:val="both"/>
        <w:rPr>
          <w:rFonts w:eastAsia="Calibri" w:cs="Calibri"/>
          <w:iCs/>
          <w:noProof/>
          <w:color w:val="auto"/>
          <w:u w:color="0563C1"/>
        </w:rPr>
      </w:pPr>
      <w:r w:rsidRPr="00FF200B">
        <w:rPr>
          <w:b/>
          <w:color w:val="auto"/>
        </w:rPr>
        <w:t>Vaccini: persone non vaccinate</w:t>
      </w:r>
      <w:r w:rsidRPr="00FF200B">
        <w:rPr>
          <w:color w:val="auto"/>
        </w:rPr>
        <w:t xml:space="preserve">. Al </w:t>
      </w:r>
      <w:r w:rsidR="00FF200B" w:rsidRPr="00FF200B">
        <w:rPr>
          <w:color w:val="auto"/>
        </w:rPr>
        <w:t>30</w:t>
      </w:r>
      <w:r w:rsidRPr="00FF200B">
        <w:rPr>
          <w:color w:val="auto"/>
        </w:rPr>
        <w:t xml:space="preserve"> marzo </w:t>
      </w:r>
      <w:r w:rsidR="004254C7" w:rsidRPr="00FF200B">
        <w:rPr>
          <w:color w:val="auto"/>
        </w:rPr>
        <w:t xml:space="preserve">sono ancora </w:t>
      </w:r>
      <w:r w:rsidR="00E03BC7" w:rsidRPr="00FF200B">
        <w:rPr>
          <w:color w:val="auto"/>
        </w:rPr>
        <w:t>6,9</w:t>
      </w:r>
      <w:r w:rsidR="00FF200B" w:rsidRPr="00FF200B">
        <w:rPr>
          <w:color w:val="auto"/>
        </w:rPr>
        <w:t>4</w:t>
      </w:r>
      <w:r w:rsidRPr="00FF200B">
        <w:rPr>
          <w:color w:val="auto"/>
        </w:rPr>
        <w:t xml:space="preserve"> milioni</w:t>
      </w:r>
      <w:r w:rsidR="00C23202" w:rsidRPr="00FF200B">
        <w:rPr>
          <w:color w:val="auto"/>
        </w:rPr>
        <w:t xml:space="preserve"> </w:t>
      </w:r>
      <w:r w:rsidR="00242F2C" w:rsidRPr="00FF200B">
        <w:rPr>
          <w:color w:val="auto"/>
        </w:rPr>
        <w:t xml:space="preserve">le </w:t>
      </w:r>
      <w:r w:rsidRPr="00FF200B">
        <w:rPr>
          <w:color w:val="auto"/>
        </w:rPr>
        <w:t xml:space="preserve">persone </w:t>
      </w:r>
      <w:r w:rsidR="00242F2C" w:rsidRPr="00FF200B">
        <w:rPr>
          <w:color w:val="auto"/>
        </w:rPr>
        <w:t xml:space="preserve">che </w:t>
      </w:r>
      <w:r w:rsidRPr="00FF200B">
        <w:rPr>
          <w:color w:val="auto"/>
        </w:rPr>
        <w:t>non hanno ricevuto nemmeno una dose di vaccino, di cui 2,</w:t>
      </w:r>
      <w:r w:rsidR="00FF200B" w:rsidRPr="00FF200B">
        <w:rPr>
          <w:color w:val="auto"/>
        </w:rPr>
        <w:t xml:space="preserve">51 </w:t>
      </w:r>
      <w:r w:rsidRPr="00FF200B">
        <w:rPr>
          <w:color w:val="auto"/>
        </w:rPr>
        <w:t xml:space="preserve">milioni </w:t>
      </w:r>
      <w:r w:rsidR="0002125E" w:rsidRPr="00FF200B">
        <w:rPr>
          <w:color w:val="auto"/>
        </w:rPr>
        <w:t xml:space="preserve">protette </w:t>
      </w:r>
      <w:r w:rsidR="0002125E">
        <w:rPr>
          <w:color w:val="auto"/>
        </w:rPr>
        <w:t xml:space="preserve">solo </w:t>
      </w:r>
      <w:r w:rsidR="004254C7" w:rsidRPr="00FF200B">
        <w:rPr>
          <w:color w:val="auto"/>
        </w:rPr>
        <w:t xml:space="preserve">temporaneamente in quanto </w:t>
      </w:r>
      <w:r w:rsidRPr="00FF200B">
        <w:rPr>
          <w:color w:val="auto"/>
        </w:rPr>
        <w:t>guarite da COVID-19 da meno di 180 giorni</w:t>
      </w:r>
      <w:r w:rsidR="00EF2175" w:rsidRPr="00FF200B">
        <w:rPr>
          <w:color w:val="auto"/>
        </w:rPr>
        <w:t xml:space="preserve"> </w:t>
      </w:r>
      <w:r w:rsidRPr="00FF200B">
        <w:rPr>
          <w:color w:val="auto"/>
        </w:rPr>
        <w:t>(</w:t>
      </w:r>
      <w:r w:rsidRPr="00FF200B">
        <w:rPr>
          <w:color w:val="auto"/>
          <w:highlight w:val="yellow"/>
        </w:rPr>
        <w:t xml:space="preserve">figura </w:t>
      </w:r>
      <w:r w:rsidR="00D022C4" w:rsidRPr="00FF200B">
        <w:rPr>
          <w:color w:val="auto"/>
          <w:highlight w:val="yellow"/>
        </w:rPr>
        <w:t>15</w:t>
      </w:r>
      <w:r w:rsidR="00C23202" w:rsidRPr="00FF200B">
        <w:rPr>
          <w:color w:val="auto"/>
        </w:rPr>
        <w:t>). Di conseguenza,</w:t>
      </w:r>
      <w:r w:rsidR="006B7129" w:rsidRPr="00FF200B">
        <w:rPr>
          <w:color w:val="auto"/>
        </w:rPr>
        <w:t xml:space="preserve"> l</w:t>
      </w:r>
      <w:r w:rsidRPr="00FF200B">
        <w:rPr>
          <w:color w:val="auto"/>
        </w:rPr>
        <w:t>e persone attualmente vaccinabili sono circa 4,</w:t>
      </w:r>
      <w:r w:rsidR="00FF200B" w:rsidRPr="00FF200B">
        <w:rPr>
          <w:color w:val="auto"/>
        </w:rPr>
        <w:t xml:space="preserve">43 </w:t>
      </w:r>
      <w:r w:rsidRPr="00FF200B">
        <w:rPr>
          <w:color w:val="auto"/>
        </w:rPr>
        <w:t xml:space="preserve">milioni, un dato che </w:t>
      </w:r>
      <w:r w:rsidR="00A16713">
        <w:rPr>
          <w:color w:val="auto"/>
        </w:rPr>
        <w:t xml:space="preserve">continua a non tener </w:t>
      </w:r>
      <w:r w:rsidRPr="00FF200B">
        <w:rPr>
          <w:color w:val="auto"/>
        </w:rPr>
        <w:t>conto delle esenzioni di cui non si conosce il numero esatto.</w:t>
      </w:r>
    </w:p>
    <w:p w:rsidR="00FF200B" w:rsidRPr="00FF200B" w:rsidRDefault="00FF200B"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FF200B">
        <w:rPr>
          <w:b/>
          <w:color w:val="auto"/>
        </w:rPr>
        <w:t>Vaccini: fascia 5-11 anni.</w:t>
      </w:r>
      <w:r w:rsidRPr="00FF200B">
        <w:rPr>
          <w:color w:val="auto"/>
        </w:rPr>
        <w:t xml:space="preserve"> Al 30 marzo (aggiornamento ore 06.18) nella fascia 5-11 anni sono state somministrate 2.427.922 dosi: 1.374.769 hanno ricevuto almeno 1 dose di vaccino (di cui 1.234.648 hanno </w:t>
      </w:r>
      <w:r w:rsidRPr="00FF200B">
        <w:rPr>
          <w:color w:val="auto"/>
        </w:rPr>
        <w:lastRenderedPageBreak/>
        <w:t>completato il ciclo vaccinale), con un tasso di copertura nazionale che si attesta al 37,4% con nette differenze regionali (dal 20,3% della Provincia Autonoma di Bolzano al 53,7% della Puglia) (</w:t>
      </w:r>
      <w:r w:rsidRPr="00FF200B">
        <w:rPr>
          <w:color w:val="auto"/>
          <w:highlight w:val="yellow"/>
        </w:rPr>
        <w:t>figura 16</w:t>
      </w:r>
      <w:r w:rsidRPr="00FF200B">
        <w:rPr>
          <w:color w:val="auto"/>
        </w:rPr>
        <w:t>).</w:t>
      </w:r>
    </w:p>
    <w:p w:rsidR="00FF200B" w:rsidRPr="00FF200B" w:rsidRDefault="00FF200B"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FF200B">
        <w:rPr>
          <w:b/>
          <w:color w:val="auto"/>
        </w:rPr>
        <w:t>Vaccini: terza dose.</w:t>
      </w:r>
      <w:r w:rsidRPr="00FF200B">
        <w:rPr>
          <w:color w:val="auto"/>
        </w:rPr>
        <w:t xml:space="preserve"> Al 30 marzo (aggiornamento ore 06.18) sono state somministrate 38.778.598 terze dosi</w:t>
      </w:r>
      <w:r w:rsidR="0002125E">
        <w:rPr>
          <w:color w:val="auto"/>
        </w:rPr>
        <w:t>,</w:t>
      </w:r>
      <w:r w:rsidRPr="00FF200B">
        <w:rPr>
          <w:color w:val="auto"/>
        </w:rPr>
        <w:t xml:space="preserve"> con una media mobile a 7 giorni di 33.389 somministrazioni al giorno. In base alla </w:t>
      </w:r>
      <w:hyperlink r:id="rId8" w:history="1">
        <w:r w:rsidRPr="00FF200B">
          <w:rPr>
            <w:rStyle w:val="Collegamentoipertestuale"/>
            <w:color w:val="auto"/>
          </w:rPr>
          <w:t>platea ufficiale</w:t>
        </w:r>
      </w:hyperlink>
      <w:r w:rsidRPr="00FF200B">
        <w:rPr>
          <w:color w:val="auto"/>
        </w:rPr>
        <w:t xml:space="preserve"> (n. 46.621.748), aggiornata al 29 marzo, il tasso di copertura nazionale per le terze dosi è dell’83,2% con nette differenze regionali: dal 77,8% della Sicilia all’86,8% della Valle </w:t>
      </w:r>
      <w:r w:rsidR="0002125E" w:rsidRPr="00FF200B">
        <w:rPr>
          <w:color w:val="auto"/>
        </w:rPr>
        <w:t>D</w:t>
      </w:r>
      <w:r w:rsidR="0002125E">
        <w:rPr>
          <w:color w:val="auto"/>
        </w:rPr>
        <w:t>’</w:t>
      </w:r>
      <w:r w:rsidR="0002125E" w:rsidRPr="00FF200B">
        <w:rPr>
          <w:color w:val="auto"/>
        </w:rPr>
        <w:t xml:space="preserve">Aosta </w:t>
      </w:r>
      <w:r w:rsidRPr="00FF200B">
        <w:rPr>
          <w:color w:val="auto"/>
        </w:rPr>
        <w:t>(</w:t>
      </w:r>
      <w:r w:rsidRPr="00FF200B">
        <w:rPr>
          <w:color w:val="auto"/>
          <w:highlight w:val="yellow"/>
        </w:rPr>
        <w:t>figura 17</w:t>
      </w:r>
      <w:r w:rsidRPr="00FF200B">
        <w:rPr>
          <w:color w:val="auto"/>
        </w:rPr>
        <w:t xml:space="preserve">). Delle 7.843.150 persone che non hanno ancora ricevuto la dose </w:t>
      </w:r>
      <w:r w:rsidRPr="00FF200B">
        <w:rPr>
          <w:i/>
          <w:color w:val="auto"/>
        </w:rPr>
        <w:t>booster</w:t>
      </w:r>
      <w:r w:rsidRPr="00FF200B">
        <w:rPr>
          <w:color w:val="auto"/>
        </w:rPr>
        <w:t>, 2,86 milioni potrebbero riceverla subito, mentre</w:t>
      </w:r>
      <w:r w:rsidRPr="00FF200B" w:rsidDel="00B24DAE">
        <w:rPr>
          <w:color w:val="auto"/>
        </w:rPr>
        <w:t xml:space="preserve"> </w:t>
      </w:r>
      <w:r w:rsidRPr="00FF200B">
        <w:rPr>
          <w:color w:val="auto"/>
        </w:rPr>
        <w:t>4,98 milioni di guariti da meno di 120 giorni non sono candidati a riceverla nell’immediato (</w:t>
      </w:r>
      <w:r w:rsidRPr="00FF200B">
        <w:rPr>
          <w:color w:val="auto"/>
          <w:highlight w:val="yellow"/>
        </w:rPr>
        <w:t>figura 18</w:t>
      </w:r>
      <w:r w:rsidRPr="00FF200B">
        <w:rPr>
          <w:color w:val="auto"/>
        </w:rPr>
        <w:t>).</w:t>
      </w:r>
    </w:p>
    <w:p w:rsidR="0039345B" w:rsidRPr="00AD0036" w:rsidRDefault="0039345B" w:rsidP="0039345B">
      <w:pPr>
        <w:spacing w:line="276" w:lineRule="auto"/>
        <w:jc w:val="both"/>
      </w:pPr>
      <w:r w:rsidRPr="00FF200B">
        <w:rPr>
          <w:b/>
        </w:rPr>
        <w:t>Vaccini: quarta dose.</w:t>
      </w:r>
      <w:r w:rsidRPr="00FF200B">
        <w:t xml:space="preserve"> Al 30 marzo (aggiornamento ore 06.18) sono state somministrate 58.545 quarte dosi. In </w:t>
      </w:r>
      <w:r w:rsidRPr="00E66A25">
        <w:t xml:space="preserve">base alla </w:t>
      </w:r>
      <w:hyperlink r:id="rId9" w:history="1">
        <w:r w:rsidRPr="00E66A25">
          <w:rPr>
            <w:rStyle w:val="Collegamentoipertestuale"/>
          </w:rPr>
          <w:t>platea ufficiale</w:t>
        </w:r>
      </w:hyperlink>
      <w:r w:rsidRPr="00E66A25">
        <w:t xml:space="preserve"> (n. 791.376), aggiornata </w:t>
      </w:r>
      <w:r w:rsidRPr="00FF200B">
        <w:t xml:space="preserve">al </w:t>
      </w:r>
      <w:r>
        <w:t>9</w:t>
      </w:r>
      <w:r w:rsidRPr="00FF200B">
        <w:t xml:space="preserve"> marzo, il tasso di copertura nazionale per le </w:t>
      </w:r>
      <w:r w:rsidR="00F760AC">
        <w:t>quarte</w:t>
      </w:r>
      <w:r w:rsidRPr="00FF200B">
        <w:t xml:space="preserve"> dosi è del 7,4% con nette differenze regionali: dal</w:t>
      </w:r>
      <w:r>
        <w:t>lo</w:t>
      </w:r>
      <w:r w:rsidRPr="00FF200B">
        <w:t xml:space="preserve"> </w:t>
      </w:r>
      <w:r>
        <w:t>0</w:t>
      </w:r>
      <w:r w:rsidRPr="00FF200B">
        <w:t>,7% del Molise al 34,5% del Piemonte</w:t>
      </w:r>
      <w:r>
        <w:t xml:space="preserve"> (</w:t>
      </w:r>
      <w:r w:rsidRPr="00C2456C">
        <w:rPr>
          <w:highlight w:val="yellow"/>
        </w:rPr>
        <w:t>figura 19</w:t>
      </w:r>
      <w:r>
        <w:t xml:space="preserve">). </w:t>
      </w:r>
      <w:r w:rsidRPr="00BF6EFE">
        <w:rPr>
          <w:rFonts w:eastAsia="Times New Roman" w:cstheme="minorHAnsi"/>
        </w:rPr>
        <w:t>«</w:t>
      </w:r>
      <w:r>
        <w:rPr>
          <w:rFonts w:eastAsia="Times New Roman" w:cstheme="minorHAnsi"/>
        </w:rPr>
        <w:t>A</w:t>
      </w:r>
      <w:r w:rsidR="00B90BF4">
        <w:rPr>
          <w:rFonts w:eastAsia="Times New Roman" w:cstheme="minorHAnsi"/>
        </w:rPr>
        <w:t xml:space="preserve">d </w:t>
      </w:r>
      <w:r>
        <w:rPr>
          <w:rFonts w:eastAsia="Times New Roman" w:cstheme="minorHAnsi"/>
        </w:rPr>
        <w:t>un mese dal via libera per le persone immunodepresse che necessitano di una quarta dose per completare il loro ciclo vaccinale</w:t>
      </w:r>
      <w:r w:rsidR="00B90BF4">
        <w:rPr>
          <w:rFonts w:eastAsia="Times New Roman" w:cstheme="minorHAnsi"/>
        </w:rPr>
        <w:t xml:space="preserve"> </w:t>
      </w:r>
      <w:r w:rsidR="00B90BF4" w:rsidRPr="00BF6EFE">
        <w:rPr>
          <w:rFonts w:eastAsia="Times New Roman" w:cstheme="minorHAnsi"/>
        </w:rPr>
        <w:t>–</w:t>
      </w:r>
      <w:r w:rsidR="00DB2DC0">
        <w:rPr>
          <w:rFonts w:eastAsia="Times New Roman" w:cstheme="minorHAnsi"/>
        </w:rPr>
        <w:t xml:space="preserve"> chiosa </w:t>
      </w:r>
      <w:r w:rsidR="00B90BF4" w:rsidRPr="00BF6EFE">
        <w:rPr>
          <w:rFonts w:eastAsia="Times New Roman" w:cstheme="minorHAnsi"/>
        </w:rPr>
        <w:t>Cartabellotta –</w:t>
      </w:r>
      <w:r>
        <w:rPr>
          <w:rFonts w:eastAsia="Times New Roman" w:cstheme="minorHAnsi"/>
        </w:rPr>
        <w:t xml:space="preserve"> </w:t>
      </w:r>
      <w:r w:rsidR="006A3AEF">
        <w:rPr>
          <w:rFonts w:eastAsia="Times New Roman" w:cstheme="minorHAnsi"/>
        </w:rPr>
        <w:t xml:space="preserve">l’esigua </w:t>
      </w:r>
      <w:r>
        <w:rPr>
          <w:rFonts w:eastAsia="Times New Roman" w:cstheme="minorHAnsi"/>
        </w:rPr>
        <w:t>copertura raggiunta e le differenze regionali sono del tutto ingiustificabili, tenendo conto che si tratta di una platea ben definita</w:t>
      </w:r>
      <w:r w:rsidR="006A3AEF">
        <w:rPr>
          <w:rFonts w:eastAsia="Times New Roman" w:cstheme="minorHAnsi"/>
        </w:rPr>
        <w:t xml:space="preserve">, composta di persone </w:t>
      </w:r>
      <w:r w:rsidR="00B90BF4">
        <w:rPr>
          <w:rFonts w:eastAsia="Times New Roman" w:cstheme="minorHAnsi"/>
        </w:rPr>
        <w:t xml:space="preserve">note </w:t>
      </w:r>
      <w:r>
        <w:rPr>
          <w:rFonts w:eastAsia="Times New Roman" w:cstheme="minorHAnsi"/>
        </w:rPr>
        <w:t>alle ASL di appartenenza e raggiungibili tramite chiamata attiva</w:t>
      </w:r>
      <w:r w:rsidRPr="00BF6EFE">
        <w:rPr>
          <w:rFonts w:eastAsia="Times New Roman" w:cstheme="minorHAnsi"/>
        </w:rPr>
        <w:t>».</w:t>
      </w:r>
    </w:p>
    <w:p w:rsidR="00A26D24" w:rsidRPr="0039345B" w:rsidRDefault="0039345B" w:rsidP="0039345B">
      <w:pPr>
        <w:spacing w:line="276" w:lineRule="auto"/>
        <w:jc w:val="both"/>
        <w:rPr>
          <w:rFonts w:eastAsia="Times New Roman" w:cstheme="minorHAnsi"/>
        </w:rPr>
      </w:pPr>
      <w:r>
        <w:rPr>
          <w:rFonts w:eastAsia="Times New Roman" w:cstheme="minorHAnsi"/>
        </w:rPr>
        <w:t xml:space="preserve">Relativamente all’estensione della platea, il 24 marzo l’Agenzia Italiana del Farmaco (AIFA) </w:t>
      </w:r>
      <w:hyperlink r:id="rId10" w:history="1">
        <w:r w:rsidRPr="00AC4125">
          <w:rPr>
            <w:rStyle w:val="Collegamentoipertestuale"/>
            <w:rFonts w:eastAsia="Times New Roman" w:cstheme="minorHAnsi"/>
          </w:rPr>
          <w:t xml:space="preserve">ha </w:t>
        </w:r>
        <w:r w:rsidR="00607C48">
          <w:rPr>
            <w:rStyle w:val="Collegamentoipertestuale"/>
            <w:rFonts w:eastAsia="Times New Roman" w:cstheme="minorHAnsi"/>
          </w:rPr>
          <w:t>ritenuto necessario</w:t>
        </w:r>
      </w:hyperlink>
      <w:r>
        <w:rPr>
          <w:rFonts w:eastAsia="Times New Roman" w:cstheme="minorHAnsi"/>
        </w:rPr>
        <w:t xml:space="preserve"> </w:t>
      </w:r>
      <w:r w:rsidR="00607C48">
        <w:rPr>
          <w:rFonts w:eastAsia="Times New Roman" w:cstheme="minorHAnsi"/>
        </w:rPr>
        <w:t xml:space="preserve">attendere </w:t>
      </w:r>
      <w:r>
        <w:rPr>
          <w:rFonts w:eastAsia="Times New Roman" w:cstheme="minorHAnsi"/>
        </w:rPr>
        <w:t xml:space="preserve">ulteriori evidenze scientifiche prima di autorizzare la seconda dose </w:t>
      </w:r>
      <w:r w:rsidRPr="00AC4125">
        <w:rPr>
          <w:rFonts w:eastAsia="Times New Roman" w:cstheme="minorHAnsi"/>
          <w:i/>
          <w:iCs/>
        </w:rPr>
        <w:t>booster</w:t>
      </w:r>
      <w:r>
        <w:rPr>
          <w:rFonts w:eastAsia="Times New Roman" w:cstheme="minorHAnsi"/>
        </w:rPr>
        <w:t xml:space="preserve"> in </w:t>
      </w:r>
      <w:r w:rsidR="00CC5144">
        <w:rPr>
          <w:rFonts w:eastAsia="Times New Roman" w:cstheme="minorHAnsi"/>
        </w:rPr>
        <w:t xml:space="preserve">nuove </w:t>
      </w:r>
      <w:r>
        <w:rPr>
          <w:rFonts w:eastAsia="Times New Roman" w:cstheme="minorHAnsi"/>
        </w:rPr>
        <w:t xml:space="preserve">categorie di soggetti. Intanto il 29 marzo la </w:t>
      </w:r>
      <w:r w:rsidRPr="00257AE5">
        <w:rPr>
          <w:rFonts w:eastAsia="Times New Roman" w:cstheme="minorHAnsi"/>
          <w:i/>
          <w:iCs/>
        </w:rPr>
        <w:t xml:space="preserve">Food and </w:t>
      </w:r>
      <w:proofErr w:type="spellStart"/>
      <w:r w:rsidRPr="00257AE5">
        <w:rPr>
          <w:rFonts w:eastAsia="Times New Roman" w:cstheme="minorHAnsi"/>
          <w:i/>
          <w:iCs/>
        </w:rPr>
        <w:t>Drug</w:t>
      </w:r>
      <w:proofErr w:type="spellEnd"/>
      <w:r w:rsidRPr="00257AE5">
        <w:rPr>
          <w:rFonts w:eastAsia="Times New Roman" w:cstheme="minorHAnsi"/>
          <w:i/>
          <w:iCs/>
        </w:rPr>
        <w:t xml:space="preserve"> Administration</w:t>
      </w:r>
      <w:r>
        <w:rPr>
          <w:rFonts w:eastAsia="Times New Roman" w:cstheme="minorHAnsi"/>
        </w:rPr>
        <w:t xml:space="preserve"> (FDA) </w:t>
      </w:r>
      <w:hyperlink r:id="rId11" w:history="1">
        <w:r w:rsidRPr="00257AE5">
          <w:rPr>
            <w:rStyle w:val="Collegamentoipertestuale"/>
            <w:rFonts w:eastAsia="Times New Roman" w:cstheme="minorHAnsi"/>
          </w:rPr>
          <w:t>ha autorizzato</w:t>
        </w:r>
      </w:hyperlink>
      <w:r>
        <w:rPr>
          <w:rFonts w:eastAsia="Times New Roman" w:cstheme="minorHAnsi"/>
        </w:rPr>
        <w:t xml:space="preserve"> la quarta dose di vaccino, oltre che per le persone immunocompromesse, per tutti gli over 50 che hanno ricevuto il </w:t>
      </w:r>
      <w:r w:rsidRPr="00792A1E">
        <w:rPr>
          <w:rFonts w:eastAsia="Times New Roman" w:cstheme="minorHAnsi"/>
          <w:i/>
        </w:rPr>
        <w:t>booster</w:t>
      </w:r>
      <w:r>
        <w:rPr>
          <w:rFonts w:eastAsia="Times New Roman" w:cstheme="minorHAnsi"/>
        </w:rPr>
        <w:t xml:space="preserve"> da almeno 4 mesi. </w:t>
      </w:r>
      <w:r w:rsidRPr="00BF6EFE">
        <w:rPr>
          <w:rFonts w:eastAsia="Times New Roman" w:cstheme="minorHAnsi"/>
        </w:rPr>
        <w:t>«</w:t>
      </w:r>
      <w:r>
        <w:rPr>
          <w:rFonts w:eastAsia="Times New Roman" w:cstheme="minorHAnsi"/>
        </w:rPr>
        <w:t>Allo stato attuale –</w:t>
      </w:r>
      <w:r w:rsidRPr="00BF6EFE">
        <w:rPr>
          <w:rFonts w:eastAsia="Times New Roman" w:cstheme="minorHAnsi"/>
        </w:rPr>
        <w:t xml:space="preserve"> </w:t>
      </w:r>
      <w:r>
        <w:rPr>
          <w:rFonts w:eastAsia="Times New Roman" w:cstheme="minorHAnsi"/>
        </w:rPr>
        <w:t xml:space="preserve">spiega il Presidente </w:t>
      </w:r>
      <w:r w:rsidRPr="00BF6EFE">
        <w:rPr>
          <w:rFonts w:eastAsia="Times New Roman" w:cstheme="minorHAnsi"/>
        </w:rPr>
        <w:t>–</w:t>
      </w:r>
      <w:r>
        <w:rPr>
          <w:rFonts w:eastAsia="Times New Roman" w:cstheme="minorHAnsi"/>
        </w:rPr>
        <w:t xml:space="preserve"> le evidenze scientifiche sull’efficacia della quarta dose di vaccino sono frammentate e limitate, </w:t>
      </w:r>
      <w:r w:rsidR="00607C48">
        <w:rPr>
          <w:rFonts w:eastAsia="Times New Roman" w:cstheme="minorHAnsi"/>
        </w:rPr>
        <w:t xml:space="preserve">ma </w:t>
      </w:r>
      <w:r>
        <w:rPr>
          <w:rFonts w:eastAsia="Times New Roman" w:cstheme="minorHAnsi"/>
        </w:rPr>
        <w:t xml:space="preserve">sembrano mostrare un effetto protettivo nei confronti della malattia grave </w:t>
      </w:r>
      <w:r w:rsidR="00607C48">
        <w:rPr>
          <w:rFonts w:eastAsia="Times New Roman" w:cstheme="minorHAnsi"/>
        </w:rPr>
        <w:t>nelle persone più anzian</w:t>
      </w:r>
      <w:r w:rsidR="00607C48" w:rsidRPr="002349E6">
        <w:rPr>
          <w:rFonts w:eastAsia="Times New Roman" w:cstheme="minorHAnsi"/>
        </w:rPr>
        <w:t xml:space="preserve">e. </w:t>
      </w:r>
      <w:r w:rsidR="00E74240" w:rsidRPr="002349E6">
        <w:rPr>
          <w:rFonts w:eastAsia="Times New Roman" w:cstheme="minorHAnsi"/>
        </w:rPr>
        <w:t>Ecco perché, i</w:t>
      </w:r>
      <w:r w:rsidR="00607C48" w:rsidRPr="002349E6">
        <w:rPr>
          <w:rFonts w:eastAsia="Times New Roman" w:cstheme="minorHAnsi"/>
        </w:rPr>
        <w:t xml:space="preserve">ndipendentemente dalla necessità condivisa </w:t>
      </w:r>
      <w:r w:rsidR="002349E6" w:rsidRPr="002349E6">
        <w:rPr>
          <w:rFonts w:eastAsia="Times New Roman" w:cstheme="minorHAnsi"/>
        </w:rPr>
        <w:t xml:space="preserve">dai ministri europei per la salute </w:t>
      </w:r>
      <w:r w:rsidR="00607C48" w:rsidRPr="002349E6">
        <w:rPr>
          <w:rFonts w:eastAsia="Times New Roman" w:cstheme="minorHAnsi"/>
        </w:rPr>
        <w:t xml:space="preserve">di pervenire ad una </w:t>
      </w:r>
      <w:hyperlink r:id="rId12" w:history="1">
        <w:r w:rsidR="00607C48" w:rsidRPr="002349E6">
          <w:rPr>
            <w:rStyle w:val="Collegamentoipertestuale"/>
            <w:rFonts w:eastAsia="Times New Roman" w:cstheme="minorHAnsi"/>
          </w:rPr>
          <w:t>proposta univoca per tutti i Paesi</w:t>
        </w:r>
      </w:hyperlink>
      <w:r w:rsidR="008F2195" w:rsidRPr="002349E6">
        <w:rPr>
          <w:rFonts w:eastAsia="Times New Roman" w:cstheme="minorHAnsi"/>
        </w:rPr>
        <w:t xml:space="preserve">, </w:t>
      </w:r>
      <w:r w:rsidR="005E7EE5">
        <w:rPr>
          <w:rFonts w:eastAsia="Times New Roman" w:cstheme="minorHAnsi"/>
        </w:rPr>
        <w:t xml:space="preserve">visto </w:t>
      </w:r>
      <w:r w:rsidR="00607C48" w:rsidRPr="002349E6">
        <w:rPr>
          <w:rFonts w:eastAsia="Times New Roman" w:cstheme="minorHAnsi"/>
        </w:rPr>
        <w:t xml:space="preserve">l’elevato </w:t>
      </w:r>
      <w:r w:rsidR="008F2195" w:rsidRPr="002349E6">
        <w:rPr>
          <w:rFonts w:eastAsia="Times New Roman" w:cstheme="minorHAnsi"/>
        </w:rPr>
        <w:t xml:space="preserve">numero di decessi </w:t>
      </w:r>
      <w:r w:rsidR="00607C48" w:rsidRPr="002349E6">
        <w:rPr>
          <w:rFonts w:eastAsia="Times New Roman" w:cstheme="minorHAnsi"/>
        </w:rPr>
        <w:t xml:space="preserve">tra gli over 80 vaccinati con </w:t>
      </w:r>
      <w:r w:rsidR="00607C48" w:rsidRPr="002349E6">
        <w:rPr>
          <w:rFonts w:eastAsia="Times New Roman" w:cstheme="minorHAnsi"/>
          <w:i/>
        </w:rPr>
        <w:t>booster</w:t>
      </w:r>
      <w:r w:rsidR="002349E6" w:rsidRPr="002349E6">
        <w:rPr>
          <w:rFonts w:eastAsia="Times New Roman" w:cstheme="minorHAnsi"/>
        </w:rPr>
        <w:t xml:space="preserve"> è </w:t>
      </w:r>
      <w:r w:rsidR="004B1639" w:rsidRPr="002349E6">
        <w:rPr>
          <w:rFonts w:eastAsia="Times New Roman" w:cstheme="minorHAnsi"/>
        </w:rPr>
        <w:t xml:space="preserve">ragionevole </w:t>
      </w:r>
      <w:r w:rsidR="002349E6" w:rsidRPr="002349E6">
        <w:rPr>
          <w:rFonts w:eastAsia="Times New Roman" w:cstheme="minorHAnsi"/>
        </w:rPr>
        <w:t xml:space="preserve">dare </w:t>
      </w:r>
      <w:r w:rsidR="00DB2DC0">
        <w:rPr>
          <w:rFonts w:eastAsia="Times New Roman" w:cstheme="minorHAnsi"/>
        </w:rPr>
        <w:t xml:space="preserve">in Italia </w:t>
      </w:r>
      <w:r w:rsidR="002349E6" w:rsidRPr="002349E6">
        <w:rPr>
          <w:rFonts w:eastAsia="Times New Roman" w:cstheme="minorHAnsi"/>
        </w:rPr>
        <w:t xml:space="preserve">il via libera alla </w:t>
      </w:r>
      <w:r w:rsidR="00607C48" w:rsidRPr="002349E6">
        <w:rPr>
          <w:rFonts w:eastAsia="Times New Roman" w:cstheme="minorHAnsi"/>
        </w:rPr>
        <w:t>somministrazi</w:t>
      </w:r>
      <w:r w:rsidR="00E74240" w:rsidRPr="002349E6">
        <w:rPr>
          <w:rFonts w:eastAsia="Times New Roman" w:cstheme="minorHAnsi"/>
        </w:rPr>
        <w:t>one della quarta dose</w:t>
      </w:r>
      <w:r w:rsidR="00903B7D" w:rsidRPr="002349E6">
        <w:rPr>
          <w:rFonts w:eastAsia="Times New Roman" w:cstheme="minorHAnsi"/>
        </w:rPr>
        <w:t xml:space="preserve"> negli ultraottantenni</w:t>
      </w:r>
      <w:r w:rsidR="002349E6" w:rsidRPr="002349E6">
        <w:rPr>
          <w:rFonts w:eastAsia="Times New Roman" w:cstheme="minorHAnsi"/>
        </w:rPr>
        <w:t>, in una fase dove coincidono elevata circolazione virale e calo delle coperture vaccinali nei confronti della malattia grave</w:t>
      </w:r>
      <w:r w:rsidRPr="002349E6">
        <w:rPr>
          <w:rFonts w:eastAsia="Times New Roman" w:cstheme="minorHAnsi"/>
        </w:rPr>
        <w:t>».</w:t>
      </w:r>
      <w:r>
        <w:rPr>
          <w:rFonts w:eastAsia="Times New Roman" w:cstheme="minorHAnsi"/>
        </w:rPr>
        <w:t xml:space="preserve"> </w:t>
      </w:r>
    </w:p>
    <w:p w:rsidR="00D722CE" w:rsidRPr="00E66A25" w:rsidRDefault="00DA5AD4" w:rsidP="00DA5AD4">
      <w:pPr>
        <w:jc w:val="both"/>
        <w:rPr>
          <w:color w:val="auto"/>
        </w:rPr>
      </w:pPr>
      <w:r w:rsidRPr="00E66A25">
        <w:rPr>
          <w:color w:val="auto"/>
        </w:rPr>
        <w:t>«</w:t>
      </w:r>
      <w:r w:rsidR="00DD62D9">
        <w:rPr>
          <w:color w:val="auto"/>
        </w:rPr>
        <w:t xml:space="preserve">Tutti </w:t>
      </w:r>
      <w:r w:rsidR="0039345B">
        <w:rPr>
          <w:color w:val="auto"/>
        </w:rPr>
        <w:t xml:space="preserve">i dati </w:t>
      </w:r>
      <w:r w:rsidR="00DD62D9" w:rsidRPr="00E66A25">
        <w:rPr>
          <w:color w:val="auto"/>
        </w:rPr>
        <w:t xml:space="preserve">– sottolinea Cartabellotta – </w:t>
      </w:r>
      <w:r w:rsidR="0039345B">
        <w:rPr>
          <w:color w:val="auto"/>
        </w:rPr>
        <w:t xml:space="preserve">confermano </w:t>
      </w:r>
      <w:r w:rsidR="00DD62D9">
        <w:rPr>
          <w:color w:val="auto"/>
        </w:rPr>
        <w:t xml:space="preserve">che la </w:t>
      </w:r>
      <w:r w:rsidR="0039345B" w:rsidRPr="00E66A25">
        <w:rPr>
          <w:color w:val="auto"/>
        </w:rPr>
        <w:t xml:space="preserve">campagna vaccinale </w:t>
      </w:r>
      <w:r w:rsidR="00DD62D9">
        <w:rPr>
          <w:color w:val="auto"/>
        </w:rPr>
        <w:t xml:space="preserve">è </w:t>
      </w:r>
      <w:r w:rsidR="0039345B" w:rsidRPr="00E66A25">
        <w:rPr>
          <w:color w:val="auto"/>
        </w:rPr>
        <w:t xml:space="preserve">ormai </w:t>
      </w:r>
      <w:r w:rsidR="0039345B">
        <w:rPr>
          <w:color w:val="auto"/>
        </w:rPr>
        <w:t>al palo</w:t>
      </w:r>
      <w:r w:rsidR="0039345B" w:rsidRPr="00E66A25">
        <w:rPr>
          <w:color w:val="auto"/>
        </w:rPr>
        <w:t xml:space="preserve"> </w:t>
      </w:r>
      <w:r w:rsidRPr="00E66A25">
        <w:rPr>
          <w:color w:val="auto"/>
        </w:rPr>
        <w:t xml:space="preserve">nonostante </w:t>
      </w:r>
      <w:r w:rsidR="00085AF6" w:rsidRPr="00E66A25">
        <w:rPr>
          <w:color w:val="auto"/>
        </w:rPr>
        <w:t>oltre</w:t>
      </w:r>
      <w:r w:rsidRPr="00E66A25">
        <w:rPr>
          <w:color w:val="auto"/>
        </w:rPr>
        <w:t xml:space="preserve"> 4,</w:t>
      </w:r>
      <w:r w:rsidR="00E66A25" w:rsidRPr="00E66A25">
        <w:rPr>
          <w:color w:val="auto"/>
        </w:rPr>
        <w:t>4</w:t>
      </w:r>
      <w:r w:rsidRPr="00E66A25">
        <w:rPr>
          <w:color w:val="auto"/>
        </w:rPr>
        <w:t xml:space="preserve"> milioni di persone</w:t>
      </w:r>
      <w:r w:rsidR="00DE4D9C" w:rsidRPr="00E66A25">
        <w:rPr>
          <w:color w:val="auto"/>
        </w:rPr>
        <w:t xml:space="preserve"> </w:t>
      </w:r>
      <w:r w:rsidRPr="00E66A25">
        <w:rPr>
          <w:color w:val="auto"/>
        </w:rPr>
        <w:t>vaccinabili con prima dose e 2,</w:t>
      </w:r>
      <w:r w:rsidR="00E66A25" w:rsidRPr="00E66A25">
        <w:rPr>
          <w:color w:val="auto"/>
        </w:rPr>
        <w:t>8</w:t>
      </w:r>
      <w:r w:rsidR="00085AF6" w:rsidRPr="00E66A25">
        <w:rPr>
          <w:color w:val="auto"/>
        </w:rPr>
        <w:t xml:space="preserve"> milioni</w:t>
      </w:r>
      <w:r w:rsidRPr="00E66A25">
        <w:rPr>
          <w:color w:val="auto"/>
        </w:rPr>
        <w:t xml:space="preserve"> con </w:t>
      </w:r>
      <w:r w:rsidR="00DE4D9C" w:rsidRPr="00E66A25">
        <w:rPr>
          <w:color w:val="auto"/>
        </w:rPr>
        <w:t xml:space="preserve">dose </w:t>
      </w:r>
      <w:r w:rsidRPr="00E66A25">
        <w:rPr>
          <w:i/>
          <w:color w:val="auto"/>
        </w:rPr>
        <w:t>booster</w:t>
      </w:r>
      <w:r w:rsidRPr="00E66A25">
        <w:rPr>
          <w:color w:val="auto"/>
        </w:rPr>
        <w:t>.</w:t>
      </w:r>
      <w:r w:rsidR="00DE4D9C" w:rsidRPr="00E66A25">
        <w:rPr>
          <w:color w:val="auto"/>
        </w:rPr>
        <w:t xml:space="preserve"> I tassi di copertura </w:t>
      </w:r>
      <w:r w:rsidR="00DD62D9" w:rsidRPr="00E66A25">
        <w:rPr>
          <w:color w:val="auto"/>
        </w:rPr>
        <w:t>vaccinal</w:t>
      </w:r>
      <w:r w:rsidR="00DD62D9">
        <w:rPr>
          <w:color w:val="auto"/>
        </w:rPr>
        <w:t>e</w:t>
      </w:r>
      <w:r w:rsidR="00DE4D9C" w:rsidRPr="00E66A25">
        <w:rPr>
          <w:color w:val="auto"/>
        </w:rPr>
        <w:t xml:space="preserve">, infatti, </w:t>
      </w:r>
      <w:r w:rsidR="00795D4B" w:rsidRPr="00E66A25">
        <w:rPr>
          <w:color w:val="auto"/>
        </w:rPr>
        <w:t xml:space="preserve">nell’ultimo mese </w:t>
      </w:r>
      <w:r w:rsidR="00DE4D9C" w:rsidRPr="00E66A25">
        <w:rPr>
          <w:color w:val="auto"/>
        </w:rPr>
        <w:t>hanno registrato incrementi</w:t>
      </w:r>
      <w:r w:rsidR="00054D1D" w:rsidRPr="00E66A25">
        <w:rPr>
          <w:color w:val="auto"/>
        </w:rPr>
        <w:t xml:space="preserve"> </w:t>
      </w:r>
      <w:r w:rsidR="00A51DC5" w:rsidRPr="00E66A25">
        <w:rPr>
          <w:color w:val="auto"/>
        </w:rPr>
        <w:t xml:space="preserve">davvero </w:t>
      </w:r>
      <w:r w:rsidR="00B8370F" w:rsidRPr="00E66A25">
        <w:rPr>
          <w:color w:val="auto"/>
        </w:rPr>
        <w:t>esigui</w:t>
      </w:r>
      <w:r w:rsidR="00DD62D9" w:rsidRPr="00E66A25">
        <w:rPr>
          <w:color w:val="auto"/>
        </w:rPr>
        <w:t>»</w:t>
      </w:r>
      <w:r w:rsidR="00B8370F" w:rsidRPr="00E66A25">
        <w:rPr>
          <w:color w:val="auto"/>
        </w:rPr>
        <w:t>. L</w:t>
      </w:r>
      <w:r w:rsidR="00F62E1B" w:rsidRPr="00E66A25">
        <w:rPr>
          <w:color w:val="auto"/>
        </w:rPr>
        <w:t xml:space="preserve">e coperture con almeno una dose </w:t>
      </w:r>
      <w:r w:rsidR="00A51DC5" w:rsidRPr="00E66A25">
        <w:rPr>
          <w:color w:val="auto"/>
        </w:rPr>
        <w:t>segnano</w:t>
      </w:r>
      <w:r w:rsidR="00DD62D9">
        <w:rPr>
          <w:color w:val="auto"/>
        </w:rPr>
        <w:t xml:space="preserve"> </w:t>
      </w:r>
      <w:r w:rsidR="00A51DC5" w:rsidRPr="00E66A25">
        <w:rPr>
          <w:color w:val="auto"/>
        </w:rPr>
        <w:t>un misero +</w:t>
      </w:r>
      <w:r w:rsidR="00DE4D9C" w:rsidRPr="00E66A25">
        <w:rPr>
          <w:color w:val="auto"/>
        </w:rPr>
        <w:t>0,2</w:t>
      </w:r>
      <w:r w:rsidR="009A25F3" w:rsidRPr="00E66A25">
        <w:rPr>
          <w:color w:val="auto"/>
        </w:rPr>
        <w:t xml:space="preserve"> passando da 85,4% a 85,6%</w:t>
      </w:r>
      <w:r w:rsidR="00B8370F" w:rsidRPr="00E66A25">
        <w:rPr>
          <w:color w:val="auto"/>
        </w:rPr>
        <w:t xml:space="preserve">; quelle con ciclo completo </w:t>
      </w:r>
      <w:r w:rsidR="00A51DC5" w:rsidRPr="00E66A25">
        <w:rPr>
          <w:color w:val="auto"/>
        </w:rPr>
        <w:t xml:space="preserve">sono cresciute di </w:t>
      </w:r>
      <w:r w:rsidR="00E66A25" w:rsidRPr="00E66A25">
        <w:rPr>
          <w:color w:val="auto"/>
        </w:rPr>
        <w:t>soli 0,6 punti percentuali passando da 83</w:t>
      </w:r>
      <w:r w:rsidR="009A25F3" w:rsidRPr="00E66A25">
        <w:rPr>
          <w:color w:val="auto"/>
        </w:rPr>
        <w:t>,</w:t>
      </w:r>
      <w:r w:rsidR="00E66A25" w:rsidRPr="00E66A25">
        <w:rPr>
          <w:color w:val="auto"/>
        </w:rPr>
        <w:t>3</w:t>
      </w:r>
      <w:r w:rsidR="009A25F3" w:rsidRPr="00E66A25">
        <w:rPr>
          <w:color w:val="auto"/>
        </w:rPr>
        <w:t>% a 83,9%</w:t>
      </w:r>
      <w:r w:rsidR="00F62E1B" w:rsidRPr="00E66A25">
        <w:rPr>
          <w:color w:val="auto"/>
        </w:rPr>
        <w:t>. Anche le coperture delle terze e quarte dosi procedono a rilento con</w:t>
      </w:r>
      <w:r w:rsidR="009A25F3" w:rsidRPr="00E66A25">
        <w:rPr>
          <w:color w:val="auto"/>
        </w:rPr>
        <w:t xml:space="preserve">, rispettivamente, incrementi pari a </w:t>
      </w:r>
      <w:r w:rsidR="00E66A25" w:rsidRPr="00E66A25">
        <w:rPr>
          <w:color w:val="auto"/>
        </w:rPr>
        <w:t>2</w:t>
      </w:r>
      <w:r w:rsidR="00F62E1B" w:rsidRPr="00E66A25">
        <w:rPr>
          <w:color w:val="auto"/>
        </w:rPr>
        <w:t>,</w:t>
      </w:r>
      <w:r w:rsidR="00E66A25" w:rsidRPr="00E66A25">
        <w:rPr>
          <w:color w:val="auto"/>
        </w:rPr>
        <w:t>8</w:t>
      </w:r>
      <w:r w:rsidR="00F62E1B" w:rsidRPr="00E66A25">
        <w:rPr>
          <w:color w:val="auto"/>
        </w:rPr>
        <w:t xml:space="preserve"> e </w:t>
      </w:r>
      <w:r w:rsidR="00E66A25" w:rsidRPr="00E66A25">
        <w:rPr>
          <w:color w:val="auto"/>
        </w:rPr>
        <w:t>7,3</w:t>
      </w:r>
      <w:r w:rsidR="00DE4D9C" w:rsidRPr="00E66A25">
        <w:rPr>
          <w:color w:val="auto"/>
        </w:rPr>
        <w:t xml:space="preserve"> </w:t>
      </w:r>
      <w:r w:rsidR="009A25F3" w:rsidRPr="00E66A25">
        <w:rPr>
          <w:color w:val="auto"/>
        </w:rPr>
        <w:t>punti percentuali (rispettivamente 80,</w:t>
      </w:r>
      <w:r w:rsidR="00E66A25" w:rsidRPr="00E66A25">
        <w:rPr>
          <w:color w:val="auto"/>
        </w:rPr>
        <w:t>4</w:t>
      </w:r>
      <w:r w:rsidR="009A25F3" w:rsidRPr="00E66A25">
        <w:rPr>
          <w:color w:val="auto"/>
        </w:rPr>
        <w:t>% vs 8</w:t>
      </w:r>
      <w:r w:rsidR="00E66A25" w:rsidRPr="00E66A25">
        <w:rPr>
          <w:color w:val="auto"/>
        </w:rPr>
        <w:t>3,2</w:t>
      </w:r>
      <w:r w:rsidR="009A25F3" w:rsidRPr="00E66A25">
        <w:rPr>
          <w:color w:val="auto"/>
        </w:rPr>
        <w:t xml:space="preserve">% e </w:t>
      </w:r>
      <w:r w:rsidR="00E66A25" w:rsidRPr="00E66A25">
        <w:rPr>
          <w:color w:val="auto"/>
        </w:rPr>
        <w:t>0,1</w:t>
      </w:r>
      <w:r w:rsidR="009A25F3" w:rsidRPr="00E66A25">
        <w:rPr>
          <w:color w:val="auto"/>
        </w:rPr>
        <w:t xml:space="preserve">% vs </w:t>
      </w:r>
      <w:r w:rsidR="00E66A25" w:rsidRPr="00E66A25">
        <w:rPr>
          <w:color w:val="auto"/>
        </w:rPr>
        <w:t>7,4</w:t>
      </w:r>
      <w:r w:rsidR="009A25F3" w:rsidRPr="00E66A25">
        <w:rPr>
          <w:color w:val="auto"/>
        </w:rPr>
        <w:t xml:space="preserve">%) </w:t>
      </w:r>
      <w:r w:rsidR="00F62E1B" w:rsidRPr="00E66A25">
        <w:rPr>
          <w:color w:val="auto"/>
        </w:rPr>
        <w:t>nonostante l’inizio più tardivo e l</w:t>
      </w:r>
      <w:r w:rsidR="002349E6">
        <w:rPr>
          <w:color w:val="auto"/>
        </w:rPr>
        <w:t xml:space="preserve">’estesa </w:t>
      </w:r>
      <w:r w:rsidR="00B8370F" w:rsidRPr="00E66A25">
        <w:rPr>
          <w:color w:val="auto"/>
        </w:rPr>
        <w:t xml:space="preserve">platea </w:t>
      </w:r>
      <w:r w:rsidR="00D5251A" w:rsidRPr="00E66A25">
        <w:rPr>
          <w:color w:val="auto"/>
        </w:rPr>
        <w:t>v</w:t>
      </w:r>
      <w:r w:rsidR="00B8370F" w:rsidRPr="00E66A25">
        <w:rPr>
          <w:color w:val="auto"/>
        </w:rPr>
        <w:t>accinabile</w:t>
      </w:r>
      <w:r w:rsidR="00930D8E" w:rsidRPr="00E66A25">
        <w:rPr>
          <w:color w:val="auto"/>
        </w:rPr>
        <w:t xml:space="preserve"> (</w:t>
      </w:r>
      <w:r w:rsidR="00DD62D9">
        <w:rPr>
          <w:color w:val="auto"/>
          <w:highlight w:val="yellow"/>
        </w:rPr>
        <w:t>t</w:t>
      </w:r>
      <w:r w:rsidR="00DD62D9" w:rsidRPr="00E66A25">
        <w:rPr>
          <w:color w:val="auto"/>
          <w:highlight w:val="yellow"/>
        </w:rPr>
        <w:t xml:space="preserve">abella </w:t>
      </w:r>
      <w:r w:rsidR="00930D8E" w:rsidRPr="00E66A25">
        <w:rPr>
          <w:color w:val="auto"/>
          <w:highlight w:val="yellow"/>
        </w:rPr>
        <w:t>3</w:t>
      </w:r>
      <w:r w:rsidR="00930D8E" w:rsidRPr="00E66A25">
        <w:rPr>
          <w:color w:val="auto"/>
        </w:rPr>
        <w:t>)</w:t>
      </w:r>
      <w:r w:rsidR="00DE4D9C" w:rsidRPr="00E66A25">
        <w:rPr>
          <w:color w:val="auto"/>
        </w:rPr>
        <w:t>.</w:t>
      </w:r>
    </w:p>
    <w:tbl>
      <w:tblPr>
        <w:tblStyle w:val="Grigliatabella"/>
        <w:tblW w:w="0" w:type="auto"/>
        <w:jc w:val="center"/>
        <w:tblLook w:val="04A0" w:firstRow="1" w:lastRow="0" w:firstColumn="1" w:lastColumn="0" w:noHBand="0" w:noVBand="1"/>
      </w:tblPr>
      <w:tblGrid>
        <w:gridCol w:w="1838"/>
        <w:gridCol w:w="1733"/>
        <w:gridCol w:w="1733"/>
        <w:gridCol w:w="1733"/>
        <w:gridCol w:w="1733"/>
      </w:tblGrid>
      <w:tr w:rsidR="00E66A25" w:rsidRPr="004E61A3" w:rsidTr="0080409E">
        <w:trPr>
          <w:jc w:val="center"/>
        </w:trPr>
        <w:tc>
          <w:tcPr>
            <w:tcW w:w="1838" w:type="dxa"/>
            <w:tcBorders>
              <w:top w:val="nil"/>
              <w:left w:val="nil"/>
              <w:bottom w:val="nil"/>
              <w:right w:val="single" w:sz="4" w:space="0" w:color="00457D"/>
            </w:tcBorders>
            <w:shd w:val="clear" w:color="auto" w:fill="FFFFFF" w:themeFill="background1"/>
          </w:tcPr>
          <w:p w:rsidR="00E66A25" w:rsidRPr="004E61A3" w:rsidRDefault="00E66A25" w:rsidP="0080409E">
            <w:pPr>
              <w:jc w:val="both"/>
              <w:rPr>
                <w:color w:val="auto"/>
              </w:rPr>
            </w:pPr>
          </w:p>
        </w:tc>
        <w:tc>
          <w:tcPr>
            <w:tcW w:w="6932" w:type="dxa"/>
            <w:gridSpan w:val="4"/>
            <w:tcBorders>
              <w:top w:val="single" w:sz="4" w:space="0" w:color="00457D"/>
              <w:left w:val="single" w:sz="4" w:space="0" w:color="00457D"/>
              <w:bottom w:val="single" w:sz="4" w:space="0" w:color="FFFFFF" w:themeColor="background1"/>
              <w:right w:val="single" w:sz="4" w:space="0" w:color="00457D"/>
            </w:tcBorders>
            <w:shd w:val="clear" w:color="auto" w:fill="00457D"/>
            <w:vAlign w:val="center"/>
          </w:tcPr>
          <w:p w:rsidR="00E66A25" w:rsidRDefault="00E66A25" w:rsidP="0080409E">
            <w:pPr>
              <w:spacing w:after="0"/>
              <w:jc w:val="center"/>
              <w:rPr>
                <w:b/>
                <w:color w:val="FFFFFF" w:themeColor="background1"/>
              </w:rPr>
            </w:pPr>
            <w:r>
              <w:rPr>
                <w:b/>
                <w:color w:val="FFFFFF" w:themeColor="background1"/>
              </w:rPr>
              <w:t>Tasso di copertura</w:t>
            </w:r>
          </w:p>
        </w:tc>
      </w:tr>
      <w:tr w:rsidR="00E66A25" w:rsidRPr="004E61A3" w:rsidTr="0080409E">
        <w:trPr>
          <w:jc w:val="center"/>
        </w:trPr>
        <w:tc>
          <w:tcPr>
            <w:tcW w:w="1838" w:type="dxa"/>
            <w:tcBorders>
              <w:top w:val="nil"/>
              <w:left w:val="nil"/>
              <w:bottom w:val="single" w:sz="4" w:space="0" w:color="00457D"/>
              <w:right w:val="single" w:sz="4" w:space="0" w:color="00457D"/>
            </w:tcBorders>
            <w:shd w:val="clear" w:color="auto" w:fill="FFFFFF" w:themeFill="background1"/>
          </w:tcPr>
          <w:p w:rsidR="00E66A25" w:rsidRPr="004E61A3" w:rsidRDefault="00E66A25" w:rsidP="0080409E">
            <w:pPr>
              <w:jc w:val="both"/>
              <w:rPr>
                <w:color w:val="auto"/>
              </w:rPr>
            </w:pPr>
          </w:p>
        </w:tc>
        <w:tc>
          <w:tcPr>
            <w:tcW w:w="1733" w:type="dxa"/>
            <w:tcBorders>
              <w:top w:val="single" w:sz="4" w:space="0" w:color="FFFFFF" w:themeColor="background1"/>
              <w:left w:val="single" w:sz="4" w:space="0" w:color="00457D"/>
              <w:bottom w:val="single" w:sz="4" w:space="0" w:color="00457D"/>
              <w:right w:val="single" w:sz="4" w:space="0" w:color="FFFFFF" w:themeColor="background1"/>
            </w:tcBorders>
            <w:shd w:val="clear" w:color="auto" w:fill="00457D"/>
            <w:vAlign w:val="center"/>
          </w:tcPr>
          <w:p w:rsidR="00E66A25" w:rsidRPr="00213F85" w:rsidRDefault="00E66A25" w:rsidP="0080409E">
            <w:pPr>
              <w:spacing w:after="0"/>
              <w:jc w:val="center"/>
              <w:rPr>
                <w:b/>
                <w:color w:val="FFFFFF" w:themeColor="background1"/>
              </w:rPr>
            </w:pPr>
            <w:r>
              <w:rPr>
                <w:b/>
                <w:color w:val="FFFFFF" w:themeColor="background1"/>
              </w:rPr>
              <w:t>Almeno 1 dose</w:t>
            </w:r>
          </w:p>
        </w:tc>
        <w:tc>
          <w:tcPr>
            <w:tcW w:w="1733" w:type="dxa"/>
            <w:tcBorders>
              <w:top w:val="single" w:sz="4" w:space="0" w:color="FFFFFF" w:themeColor="background1"/>
              <w:left w:val="single" w:sz="4" w:space="0" w:color="FFFFFF" w:themeColor="background1"/>
              <w:bottom w:val="single" w:sz="4" w:space="0" w:color="00457D"/>
              <w:right w:val="single" w:sz="4" w:space="0" w:color="FFFFFF" w:themeColor="background1"/>
            </w:tcBorders>
            <w:shd w:val="clear" w:color="auto" w:fill="00457D"/>
            <w:vAlign w:val="center"/>
          </w:tcPr>
          <w:p w:rsidR="00E66A25" w:rsidRDefault="00E66A25" w:rsidP="0080409E">
            <w:pPr>
              <w:spacing w:after="0"/>
              <w:jc w:val="center"/>
              <w:rPr>
                <w:b/>
                <w:color w:val="FFFFFF" w:themeColor="background1"/>
              </w:rPr>
            </w:pPr>
            <w:r>
              <w:rPr>
                <w:b/>
                <w:color w:val="FFFFFF" w:themeColor="background1"/>
              </w:rPr>
              <w:t>Ciclo completo</w:t>
            </w:r>
          </w:p>
        </w:tc>
        <w:tc>
          <w:tcPr>
            <w:tcW w:w="1733" w:type="dxa"/>
            <w:tcBorders>
              <w:top w:val="single" w:sz="4" w:space="0" w:color="FFFFFF" w:themeColor="background1"/>
              <w:left w:val="single" w:sz="4" w:space="0" w:color="FFFFFF" w:themeColor="background1"/>
              <w:bottom w:val="single" w:sz="4" w:space="0" w:color="00457D"/>
              <w:right w:val="single" w:sz="4" w:space="0" w:color="FFFFFF" w:themeColor="background1"/>
            </w:tcBorders>
            <w:shd w:val="clear" w:color="auto" w:fill="00457D"/>
            <w:vAlign w:val="center"/>
          </w:tcPr>
          <w:p w:rsidR="00E66A25" w:rsidRPr="00213F85" w:rsidRDefault="00E66A25" w:rsidP="0080409E">
            <w:pPr>
              <w:spacing w:after="0"/>
              <w:jc w:val="center"/>
              <w:rPr>
                <w:b/>
                <w:color w:val="FFFFFF" w:themeColor="background1"/>
              </w:rPr>
            </w:pPr>
            <w:r>
              <w:rPr>
                <w:b/>
                <w:color w:val="FFFFFF" w:themeColor="background1"/>
              </w:rPr>
              <w:t>Terza dose</w:t>
            </w:r>
          </w:p>
        </w:tc>
        <w:tc>
          <w:tcPr>
            <w:tcW w:w="1733" w:type="dxa"/>
            <w:tcBorders>
              <w:top w:val="single" w:sz="4" w:space="0" w:color="FFFFFF" w:themeColor="background1"/>
              <w:left w:val="single" w:sz="4" w:space="0" w:color="FFFFFF" w:themeColor="background1"/>
              <w:bottom w:val="single" w:sz="4" w:space="0" w:color="00457D"/>
              <w:right w:val="single" w:sz="4" w:space="0" w:color="00457D"/>
            </w:tcBorders>
            <w:shd w:val="clear" w:color="auto" w:fill="00457D"/>
            <w:vAlign w:val="center"/>
          </w:tcPr>
          <w:p w:rsidR="00E66A25" w:rsidRPr="00213F85" w:rsidRDefault="00E66A25" w:rsidP="0080409E">
            <w:pPr>
              <w:spacing w:after="0"/>
              <w:jc w:val="center"/>
              <w:rPr>
                <w:b/>
                <w:color w:val="FFFFFF" w:themeColor="background1"/>
              </w:rPr>
            </w:pPr>
            <w:r>
              <w:rPr>
                <w:b/>
                <w:color w:val="FFFFFF" w:themeColor="background1"/>
              </w:rPr>
              <w:t>Q</w:t>
            </w:r>
            <w:r w:rsidRPr="00213F85">
              <w:rPr>
                <w:b/>
                <w:color w:val="FFFFFF" w:themeColor="background1"/>
              </w:rPr>
              <w:t>uarta dose</w:t>
            </w:r>
          </w:p>
        </w:tc>
      </w:tr>
      <w:tr w:rsidR="00E66A25" w:rsidRPr="004E61A3" w:rsidTr="0080409E">
        <w:trPr>
          <w:trHeight w:val="397"/>
          <w:jc w:val="center"/>
        </w:trPr>
        <w:tc>
          <w:tcPr>
            <w:tcW w:w="1838"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right"/>
              <w:rPr>
                <w:color w:val="auto"/>
              </w:rPr>
            </w:pPr>
            <w:r>
              <w:rPr>
                <w:color w:val="auto"/>
              </w:rPr>
              <w:t>27 febbraio 2022</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80409E">
            <w:pPr>
              <w:spacing w:after="0"/>
              <w:jc w:val="center"/>
              <w:rPr>
                <w:color w:val="auto"/>
              </w:rPr>
            </w:pPr>
            <w:r>
              <w:rPr>
                <w:rFonts w:cs="Calibri"/>
              </w:rPr>
              <w:t>85,4%</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Default="00E66A25" w:rsidP="00E66A25">
            <w:pPr>
              <w:spacing w:after="0"/>
              <w:jc w:val="center"/>
              <w:rPr>
                <w:color w:val="auto"/>
              </w:rPr>
            </w:pPr>
            <w:r>
              <w:rPr>
                <w:rFonts w:cs="Calibri"/>
              </w:rPr>
              <w:t>83,3%</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center"/>
              <w:rPr>
                <w:color w:val="auto"/>
              </w:rPr>
            </w:pPr>
            <w:r>
              <w:rPr>
                <w:rFonts w:cs="Calibri"/>
              </w:rPr>
              <w:t>80,4%</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center"/>
              <w:rPr>
                <w:color w:val="auto"/>
              </w:rPr>
            </w:pPr>
            <w:r>
              <w:rPr>
                <w:rFonts w:cs="Calibri"/>
              </w:rPr>
              <w:t>0,1%</w:t>
            </w:r>
          </w:p>
        </w:tc>
      </w:tr>
      <w:tr w:rsidR="00E66A25" w:rsidRPr="004E61A3" w:rsidTr="0080409E">
        <w:trPr>
          <w:trHeight w:val="397"/>
          <w:jc w:val="center"/>
        </w:trPr>
        <w:tc>
          <w:tcPr>
            <w:tcW w:w="1838"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right"/>
              <w:rPr>
                <w:color w:val="auto"/>
              </w:rPr>
            </w:pPr>
            <w:r>
              <w:rPr>
                <w:color w:val="auto"/>
              </w:rPr>
              <w:t>29 marzo 2022</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Default="00E66A25" w:rsidP="0080409E">
            <w:pPr>
              <w:spacing w:after="0"/>
              <w:jc w:val="center"/>
              <w:rPr>
                <w:color w:val="auto"/>
              </w:rPr>
            </w:pPr>
            <w:r>
              <w:rPr>
                <w:rFonts w:cs="Calibri"/>
              </w:rPr>
              <w:t>85,6%</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Default="00E66A25" w:rsidP="00E66A25">
            <w:pPr>
              <w:spacing w:after="0"/>
              <w:jc w:val="center"/>
              <w:rPr>
                <w:color w:val="auto"/>
              </w:rPr>
            </w:pPr>
            <w:r>
              <w:rPr>
                <w:rFonts w:cs="Calibri"/>
              </w:rPr>
              <w:t>83,9%</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center"/>
              <w:rPr>
                <w:color w:val="auto"/>
              </w:rPr>
            </w:pPr>
            <w:r>
              <w:rPr>
                <w:rFonts w:cs="Calibri"/>
              </w:rPr>
              <w:t>83,2%</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center"/>
              <w:rPr>
                <w:color w:val="auto"/>
              </w:rPr>
            </w:pPr>
            <w:r>
              <w:rPr>
                <w:rFonts w:cs="Calibri"/>
              </w:rPr>
              <w:t>7,4%</w:t>
            </w:r>
          </w:p>
        </w:tc>
      </w:tr>
      <w:tr w:rsidR="00E66A25" w:rsidRPr="004E61A3" w:rsidTr="00E66A25">
        <w:trPr>
          <w:trHeight w:val="397"/>
          <w:jc w:val="center"/>
        </w:trPr>
        <w:tc>
          <w:tcPr>
            <w:tcW w:w="1838"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80409E">
            <w:pPr>
              <w:spacing w:after="0"/>
              <w:jc w:val="right"/>
              <w:rPr>
                <w:color w:val="auto"/>
              </w:rPr>
            </w:pPr>
            <w:r>
              <w:rPr>
                <w:color w:val="auto"/>
              </w:rPr>
              <w:t>Variazione</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80409E">
            <w:pPr>
              <w:spacing w:after="0"/>
              <w:jc w:val="center"/>
              <w:rPr>
                <w:color w:val="auto"/>
              </w:rPr>
            </w:pPr>
            <w:r>
              <w:rPr>
                <w:rFonts w:cs="Calibri"/>
              </w:rPr>
              <w:t>+0,2</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Default="00E66A25" w:rsidP="0080409E">
            <w:pPr>
              <w:spacing w:after="0"/>
              <w:jc w:val="center"/>
              <w:rPr>
                <w:color w:val="auto"/>
              </w:rPr>
            </w:pPr>
            <w:r>
              <w:rPr>
                <w:rFonts w:cs="Calibri"/>
              </w:rPr>
              <w:t>+0,6</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center"/>
              <w:rPr>
                <w:color w:val="auto"/>
              </w:rPr>
            </w:pPr>
            <w:r>
              <w:rPr>
                <w:rFonts w:cs="Calibri"/>
              </w:rPr>
              <w:t>+2,8</w:t>
            </w:r>
          </w:p>
        </w:tc>
        <w:tc>
          <w:tcPr>
            <w:tcW w:w="1733" w:type="dxa"/>
            <w:tcBorders>
              <w:top w:val="single" w:sz="4" w:space="0" w:color="00457D"/>
              <w:left w:val="single" w:sz="4" w:space="0" w:color="00457D"/>
              <w:bottom w:val="single" w:sz="4" w:space="0" w:color="00457D"/>
              <w:right w:val="single" w:sz="4" w:space="0" w:color="00457D"/>
            </w:tcBorders>
            <w:vAlign w:val="center"/>
          </w:tcPr>
          <w:p w:rsidR="00E66A25" w:rsidRPr="004E61A3" w:rsidRDefault="00E66A25" w:rsidP="00E66A25">
            <w:pPr>
              <w:spacing w:after="0"/>
              <w:jc w:val="center"/>
              <w:rPr>
                <w:color w:val="auto"/>
              </w:rPr>
            </w:pPr>
            <w:r>
              <w:rPr>
                <w:rFonts w:cs="Calibri"/>
              </w:rPr>
              <w:t>+7,3</w:t>
            </w:r>
          </w:p>
        </w:tc>
      </w:tr>
      <w:tr w:rsidR="00E66A25" w:rsidRPr="004E61A3" w:rsidTr="00E66A25">
        <w:tblPrEx>
          <w:tblCellMar>
            <w:left w:w="70" w:type="dxa"/>
            <w:right w:w="70" w:type="dxa"/>
          </w:tblCellMar>
        </w:tblPrEx>
        <w:trPr>
          <w:trHeight w:val="510"/>
          <w:jc w:val="center"/>
        </w:trPr>
        <w:tc>
          <w:tcPr>
            <w:tcW w:w="7037" w:type="dxa"/>
            <w:gridSpan w:val="4"/>
            <w:tcBorders>
              <w:top w:val="single" w:sz="4" w:space="0" w:color="00457D"/>
              <w:left w:val="nil"/>
              <w:bottom w:val="nil"/>
              <w:right w:val="nil"/>
            </w:tcBorders>
            <w:vAlign w:val="center"/>
          </w:tcPr>
          <w:p w:rsidR="00E66A25" w:rsidRPr="00E66A25" w:rsidRDefault="00E66A25" w:rsidP="00E66A25">
            <w:pPr>
              <w:spacing w:after="0" w:line="240" w:lineRule="auto"/>
              <w:rPr>
                <w:rFonts w:cs="Calibri"/>
                <w:color w:val="00457D"/>
                <w:sz w:val="16"/>
              </w:rPr>
            </w:pPr>
            <w:r w:rsidRPr="00E66A25">
              <w:rPr>
                <w:rFonts w:cs="Calibri"/>
                <w:color w:val="00457D"/>
                <w:sz w:val="16"/>
              </w:rPr>
              <w:t>Elaborazione GIMBE su dati Ministero Salute, Commissario Straordinario COVID-19</w:t>
            </w:r>
          </w:p>
          <w:p w:rsidR="00E66A25" w:rsidRPr="00E66A25" w:rsidRDefault="00E66A25" w:rsidP="00E66A25">
            <w:pPr>
              <w:spacing w:after="0" w:line="240" w:lineRule="auto"/>
              <w:rPr>
                <w:rFonts w:cs="Calibri"/>
                <w:color w:val="00457D"/>
                <w:sz w:val="16"/>
              </w:rPr>
            </w:pPr>
            <w:r w:rsidRPr="00E66A25">
              <w:rPr>
                <w:rFonts w:cs="Calibri"/>
                <w:color w:val="00457D"/>
                <w:sz w:val="16"/>
              </w:rPr>
              <w:t>Aggiornamento: 30 marzo ore 06.18</w:t>
            </w:r>
          </w:p>
        </w:tc>
        <w:tc>
          <w:tcPr>
            <w:tcW w:w="1733" w:type="dxa"/>
            <w:tcBorders>
              <w:top w:val="single" w:sz="4" w:space="0" w:color="00457D"/>
              <w:left w:val="nil"/>
              <w:bottom w:val="nil"/>
              <w:right w:val="nil"/>
            </w:tcBorders>
            <w:vAlign w:val="center"/>
          </w:tcPr>
          <w:p w:rsidR="00E66A25" w:rsidRDefault="00E66A25" w:rsidP="0080409E">
            <w:pPr>
              <w:spacing w:after="0"/>
              <w:jc w:val="center"/>
              <w:rPr>
                <w:rFonts w:cs="Calibri"/>
              </w:rPr>
            </w:pPr>
            <w:r>
              <w:rPr>
                <w:noProof/>
              </w:rPr>
              <w:drawing>
                <wp:inline distT="0" distB="0" distL="0" distR="0" wp14:anchorId="08DA7CAA" wp14:editId="40ED2E85">
                  <wp:extent cx="694690" cy="236139"/>
                  <wp:effectExtent l="0" t="0" r="0" b="0"/>
                  <wp:docPr id="1" name="Immagine 1">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0000000-0008-0000-0000-000013000000}"/>
                              </a:ext>
                            </a:extLst>
                          </pic:cNvPr>
                          <pic:cNvPicPr>
                            <a:picLocks noChangeAspect="1"/>
                          </pic:cNvPicPr>
                        </pic:nvPicPr>
                        <pic:blipFill>
                          <a:blip r:embed="rId13" cstate="print"/>
                          <a:stretch>
                            <a:fillRect/>
                          </a:stretch>
                        </pic:blipFill>
                        <pic:spPr>
                          <a:xfrm>
                            <a:off x="0" y="0"/>
                            <a:ext cx="709540" cy="241187"/>
                          </a:xfrm>
                          <a:prstGeom prst="rect">
                            <a:avLst/>
                          </a:prstGeom>
                        </pic:spPr>
                      </pic:pic>
                    </a:graphicData>
                  </a:graphic>
                </wp:inline>
              </w:drawing>
            </w:r>
          </w:p>
        </w:tc>
      </w:tr>
    </w:tbl>
    <w:p w:rsidR="004E61A3" w:rsidRPr="00E66A25" w:rsidRDefault="00930D8E" w:rsidP="00930D8E">
      <w:pPr>
        <w:jc w:val="center"/>
        <w:rPr>
          <w:b/>
          <w:color w:val="00457D"/>
          <w:sz w:val="18"/>
        </w:rPr>
      </w:pPr>
      <w:r w:rsidRPr="00E66A25">
        <w:rPr>
          <w:b/>
          <w:color w:val="00457D"/>
          <w:sz w:val="18"/>
        </w:rPr>
        <w:t>Tabella 3. Tassi di copertura vaccinale</w:t>
      </w:r>
    </w:p>
    <w:p w:rsidR="00A16713" w:rsidRDefault="00372B2C" w:rsidP="00945FD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945FDF">
        <w:rPr>
          <w:rFonts w:eastAsia="Times New Roman"/>
          <w:b/>
          <w:color w:val="auto"/>
        </w:rPr>
        <w:t>Vaccini: efficacia.</w:t>
      </w:r>
      <w:r w:rsidRPr="00945FDF">
        <w:rPr>
          <w:rFonts w:eastAsia="Times New Roman"/>
          <w:color w:val="auto"/>
        </w:rPr>
        <w:t xml:space="preserve"> I </w:t>
      </w:r>
      <w:hyperlink r:id="rId14" w:history="1">
        <w:r w:rsidRPr="00945FDF">
          <w:rPr>
            <w:rStyle w:val="Collegamentoipertestuale"/>
            <w:color w:val="auto"/>
          </w:rPr>
          <w:t>dati dell’Istituto Superiore di Sanità</w:t>
        </w:r>
      </w:hyperlink>
      <w:r w:rsidR="00945FDF" w:rsidRPr="00945FDF">
        <w:rPr>
          <w:color w:val="auto"/>
        </w:rPr>
        <w:t xml:space="preserve"> dimostrano la riduzione dell’efficacia vaccinale nei confronti della diagnosi a partire da 3 mesi dal completamento del ciclo primario e la sua risalita dopo la somministrazion</w:t>
      </w:r>
      <w:r w:rsidR="00A16713">
        <w:rPr>
          <w:color w:val="auto"/>
        </w:rPr>
        <w:t>e del richiamo. In particolare</w:t>
      </w:r>
      <w:r w:rsidR="00004D92">
        <w:rPr>
          <w:color w:val="auto"/>
        </w:rPr>
        <w:t>:</w:t>
      </w:r>
    </w:p>
    <w:p w:rsidR="00903B7D" w:rsidRDefault="00945FDF" w:rsidP="00903B7D">
      <w:pPr>
        <w:pStyle w:val="Paragrafoelenco"/>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A16713">
        <w:rPr>
          <w:color w:val="auto"/>
        </w:rPr>
        <w:lastRenderedPageBreak/>
        <w:t xml:space="preserve">l’efficacia sulla diagnosi scende progressivamente dal 50,4% per i vaccinati con due dosi entro 90 giorni al 47,5% per i vaccinati da più di 120 giorni, per poi risalire al 70% dopo il richiamo; </w:t>
      </w:r>
    </w:p>
    <w:p w:rsidR="00945FDF" w:rsidRPr="00903B7D" w:rsidRDefault="00945FDF" w:rsidP="00903B7D">
      <w:pPr>
        <w:pStyle w:val="Paragrafoelenco"/>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903B7D">
        <w:rPr>
          <w:color w:val="auto"/>
        </w:rPr>
        <w:t>l’e</w:t>
      </w:r>
      <w:r w:rsidR="00B243A0" w:rsidRPr="00903B7D">
        <w:rPr>
          <w:color w:val="auto"/>
        </w:rPr>
        <w:t>fficacia sulla malattia severa, aumenta</w:t>
      </w:r>
      <w:r w:rsidRPr="00903B7D">
        <w:rPr>
          <w:color w:val="auto"/>
        </w:rPr>
        <w:t xml:space="preserve"> dal 73,2% per i vaccinati con due dosi entro 90 giorni al 75,6% per i vaccinati da più di 120 giorni, per poi salire ancora al 91,3% dopo il richiamo.</w:t>
      </w:r>
    </w:p>
    <w:p w:rsidR="0080409E" w:rsidRDefault="0080409E" w:rsidP="00E66A2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80409E">
        <w:rPr>
          <w:color w:val="auto"/>
        </w:rPr>
        <w:t>Complessivamente nelle persone vaccinate con ciclo completo (più eventuale dose di richiamo), rispetto a quelle non vaccinate, nelle varie fasce d’età si riduce l’incidenza di diagnosi (del 41,4-69,1%), ma soprattutto di malattia grave (del 59,1-87,5% per ricoveri ordinari; del 73,8-90,4% per le terap</w:t>
      </w:r>
      <w:r w:rsidR="00C2456C">
        <w:rPr>
          <w:color w:val="auto"/>
        </w:rPr>
        <w:t>ie intensive) e decesso (del 67</w:t>
      </w:r>
      <w:r w:rsidRPr="0080409E">
        <w:rPr>
          <w:color w:val="auto"/>
        </w:rPr>
        <w:t>-91,2%) (</w:t>
      </w:r>
      <w:r w:rsidRPr="00C2456C">
        <w:rPr>
          <w:color w:val="auto"/>
          <w:highlight w:val="yellow"/>
        </w:rPr>
        <w:t>figura 21</w:t>
      </w:r>
      <w:r w:rsidRPr="0080409E">
        <w:rPr>
          <w:color w:val="auto"/>
        </w:rPr>
        <w:t>).</w:t>
      </w:r>
    </w:p>
    <w:p w:rsidR="00AF2C65" w:rsidRPr="00717E58" w:rsidRDefault="00AF2C65" w:rsidP="00AF2C65">
      <w:pPr>
        <w:spacing w:before="120" w:after="120"/>
        <w:jc w:val="both"/>
      </w:pPr>
      <w:r>
        <w:rPr>
          <w:rFonts w:cstheme="minorHAnsi"/>
        </w:rPr>
        <w:t>«</w:t>
      </w:r>
      <w:r>
        <w:t xml:space="preserve">Ormai da tempo – conclude Cartabellotta – le narrative della politica e le percezioni della popolazione tendono a identificare la scadenza dello stato di emergenza con la fine della pandemia, che </w:t>
      </w:r>
      <w:r w:rsidR="0048493A">
        <w:t xml:space="preserve">ovviamente </w:t>
      </w:r>
      <w:r>
        <w:t>non</w:t>
      </w:r>
      <w:r w:rsidR="002349E6">
        <w:t xml:space="preserve"> può </w:t>
      </w:r>
      <w:r w:rsidR="0048493A">
        <w:t>coincide</w:t>
      </w:r>
      <w:r w:rsidR="002349E6">
        <w:t xml:space="preserve">re </w:t>
      </w:r>
      <w:r>
        <w:t xml:space="preserve">con una scadenza </w:t>
      </w:r>
      <w:r w:rsidRPr="00525DE2">
        <w:t>burocratica</w:t>
      </w:r>
      <w:r w:rsidRPr="00717E58">
        <w:t xml:space="preserve">. </w:t>
      </w:r>
      <w:r w:rsidR="00004D92">
        <w:t xml:space="preserve">Infatti, complice </w:t>
      </w:r>
      <w:r w:rsidR="00C42751">
        <w:t xml:space="preserve">l’incauto </w:t>
      </w:r>
      <w:r w:rsidR="00004D92">
        <w:t xml:space="preserve">calo di attenzione che ha portato allo </w:t>
      </w:r>
      <w:r w:rsidR="00513780">
        <w:t xml:space="preserve">stallo </w:t>
      </w:r>
      <w:r w:rsidR="00004D92">
        <w:t>della campagna vaccinale e all’allentamento delle precauzioni individuali</w:t>
      </w:r>
      <w:r w:rsidR="00C42751">
        <w:t>, al 30</w:t>
      </w:r>
      <w:r w:rsidR="00087B77">
        <w:t xml:space="preserve"> marzo si registrano </w:t>
      </w:r>
      <w:r w:rsidR="00C42751">
        <w:t>più di</w:t>
      </w:r>
      <w:r w:rsidR="00087B77">
        <w:t xml:space="preserve"> 500 mila nuovi casi in </w:t>
      </w:r>
      <w:r w:rsidR="00C42751">
        <w:t>7 giorni</w:t>
      </w:r>
      <w:r w:rsidR="000F159D">
        <w:t xml:space="preserve"> con </w:t>
      </w:r>
      <w:r w:rsidR="00C42751">
        <w:t>o</w:t>
      </w:r>
      <w:r w:rsidR="00087B77">
        <w:t>ltre 1,26 milioni di casi positivi in due settiman</w:t>
      </w:r>
      <w:r w:rsidR="00004D92">
        <w:t>e</w:t>
      </w:r>
      <w:r w:rsidR="00087B77">
        <w:t xml:space="preserve"> hanno determinato un aumento di oltre 1.</w:t>
      </w:r>
      <w:r w:rsidR="00004D92">
        <w:t xml:space="preserve">500 </w:t>
      </w:r>
      <w:r w:rsidR="00087B77">
        <w:t>posti in area medica e invertito il trend delle terapie intensive</w:t>
      </w:r>
      <w:r w:rsidR="000F159D">
        <w:t xml:space="preserve">. Con </w:t>
      </w:r>
      <w:r w:rsidR="00087B77">
        <w:t xml:space="preserve">quasi mille decessi </w:t>
      </w:r>
      <w:r w:rsidR="00004D92">
        <w:t xml:space="preserve">a </w:t>
      </w:r>
      <w:r w:rsidR="0048493A">
        <w:t xml:space="preserve">settimana. </w:t>
      </w:r>
      <w:r w:rsidR="00C42751">
        <w:t xml:space="preserve">Ecco perché, </w:t>
      </w:r>
      <w:r w:rsidR="00DB2DC0">
        <w:t xml:space="preserve">bisogna guardare al prossimo futuro con </w:t>
      </w:r>
      <w:r w:rsidR="00C42751">
        <w:t xml:space="preserve">ottimismo e </w:t>
      </w:r>
      <w:r w:rsidR="00DB2DC0">
        <w:t>fiducia</w:t>
      </w:r>
      <w:r w:rsidR="00247B4B">
        <w:t xml:space="preserve">, ma anche con </w:t>
      </w:r>
      <w:r w:rsidR="00DB2DC0">
        <w:t>prudenza</w:t>
      </w:r>
      <w:r w:rsidR="00247B4B">
        <w:t xml:space="preserve"> e responsabilità</w:t>
      </w:r>
      <w:r w:rsidR="00C42751">
        <w:t>, viste le incertezze su possibili nuove varianti e durata della copertura vaccinale</w:t>
      </w:r>
      <w:r w:rsidR="00DB2DC0">
        <w:t xml:space="preserve">. </w:t>
      </w:r>
      <w:r w:rsidR="00C42751">
        <w:t xml:space="preserve">Dal canto suo, la </w:t>
      </w:r>
      <w:r w:rsidR="00DB2DC0">
        <w:t xml:space="preserve">Fondazione GIMBE </w:t>
      </w:r>
      <w:r w:rsidR="00C42751">
        <w:t xml:space="preserve">- che continuerà a pubblicare </w:t>
      </w:r>
      <w:r w:rsidR="00DB2DC0">
        <w:t xml:space="preserve">il monitoraggio settimanale </w:t>
      </w:r>
      <w:r w:rsidR="00C42751">
        <w:t xml:space="preserve">anche dopo il 31 marzo - </w:t>
      </w:r>
      <w:r w:rsidR="00DB2DC0">
        <w:t>formula alcune raccomandazioni per la convivenza con il SARS-CoV-2, al fine di garantire un’estate più tranquilla possibile, e soprattutto di arrivare preparati alla prossima stagione autunno-inverno</w:t>
      </w:r>
      <w:r w:rsidR="00DB2DC0">
        <w:rPr>
          <w:rFonts w:cstheme="minorHAnsi"/>
        </w:rPr>
        <w:t>».</w:t>
      </w:r>
    </w:p>
    <w:tbl>
      <w:tblPr>
        <w:tblStyle w:val="Grigliatabella"/>
        <w:tblW w:w="0" w:type="auto"/>
        <w:tblBorders>
          <w:top w:val="single" w:sz="12" w:space="0" w:color="00457D"/>
          <w:left w:val="single" w:sz="12" w:space="0" w:color="00457D"/>
          <w:bottom w:val="single" w:sz="12" w:space="0" w:color="00457D"/>
          <w:right w:val="single" w:sz="12" w:space="0" w:color="00457D"/>
          <w:insideH w:val="single" w:sz="12" w:space="0" w:color="00457D"/>
          <w:insideV w:val="single" w:sz="12" w:space="0" w:color="00457D"/>
        </w:tblBorders>
        <w:shd w:val="clear" w:color="auto" w:fill="BDD6EE" w:themeFill="accent5" w:themeFillTint="66"/>
        <w:tblLook w:val="04A0" w:firstRow="1" w:lastRow="0" w:firstColumn="1" w:lastColumn="0" w:noHBand="0" w:noVBand="1"/>
      </w:tblPr>
      <w:tblGrid>
        <w:gridCol w:w="9602"/>
      </w:tblGrid>
      <w:tr w:rsidR="00D462EF" w:rsidTr="00D462EF">
        <w:tc>
          <w:tcPr>
            <w:tcW w:w="9628" w:type="dxa"/>
            <w:shd w:val="clear" w:color="auto" w:fill="00457D"/>
          </w:tcPr>
          <w:p w:rsidR="00D462EF" w:rsidRPr="00D462EF" w:rsidRDefault="00D462EF" w:rsidP="00D462EF">
            <w:pPr>
              <w:spacing w:before="120" w:after="120"/>
              <w:jc w:val="center"/>
              <w:rPr>
                <w:b/>
                <w:bCs/>
                <w:color w:val="FFFFFF" w:themeColor="background1"/>
                <w:sz w:val="26"/>
                <w:szCs w:val="26"/>
              </w:rPr>
            </w:pPr>
            <w:r w:rsidRPr="00D462EF">
              <w:rPr>
                <w:b/>
                <w:bCs/>
                <w:color w:val="FFFFFF" w:themeColor="background1"/>
                <w:sz w:val="26"/>
                <w:szCs w:val="26"/>
              </w:rPr>
              <w:t>Raccomandazioni GIMBE per la convivenza con SARS-CoV2 dopo il 31 marzo 2022</w:t>
            </w:r>
          </w:p>
        </w:tc>
      </w:tr>
      <w:tr w:rsidR="00AF2C65" w:rsidTr="005B4AE1">
        <w:tc>
          <w:tcPr>
            <w:tcW w:w="9628" w:type="dxa"/>
            <w:shd w:val="clear" w:color="auto" w:fill="auto"/>
          </w:tcPr>
          <w:p w:rsidR="00D462EF" w:rsidRPr="00D462EF" w:rsidRDefault="00D462EF" w:rsidP="00C42751">
            <w:pPr>
              <w:spacing w:before="60" w:after="0"/>
              <w:jc w:val="center"/>
              <w:rPr>
                <w:b/>
                <w:color w:val="00457D"/>
                <w:sz w:val="10"/>
                <w:szCs w:val="10"/>
              </w:rPr>
            </w:pPr>
          </w:p>
          <w:p w:rsidR="00AF2C65" w:rsidRPr="005B4AE1" w:rsidRDefault="00AF2C65" w:rsidP="00C42751">
            <w:pPr>
              <w:spacing w:before="60" w:after="0"/>
              <w:jc w:val="center"/>
              <w:rPr>
                <w:b/>
                <w:color w:val="00457D"/>
              </w:rPr>
            </w:pPr>
            <w:r w:rsidRPr="005B4AE1">
              <w:rPr>
                <w:b/>
                <w:color w:val="00457D"/>
              </w:rPr>
              <w:t>Raccomandazioni individuali</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Completare il ciclo vaccinale con tre dosi (quattro per le persone immunocompromesse).</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Continuare ad indossare la mascherina nei luoghi pubblici al chiuso, all’esterno in condizioni di assembramento e quando si è a contatto con persone fragili.</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Eseguire il tampone in caso di sintomatologia compatibile con COVID-19.</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Rispettare l’isolamento in caso di positività o in presenza di sintomatologia compatibile con COVID-19 nell’attesa di eseguire il tampone.</w:t>
            </w:r>
          </w:p>
          <w:p w:rsidR="00D462EF" w:rsidRPr="00D462EF" w:rsidRDefault="00D462EF" w:rsidP="00C42751">
            <w:pPr>
              <w:spacing w:before="60" w:after="0"/>
              <w:jc w:val="center"/>
              <w:rPr>
                <w:b/>
                <w:color w:val="00457D"/>
                <w:sz w:val="10"/>
                <w:szCs w:val="10"/>
              </w:rPr>
            </w:pPr>
          </w:p>
          <w:p w:rsidR="00AF2C65" w:rsidRPr="005B4AE1" w:rsidRDefault="00AF2C65" w:rsidP="00C42751">
            <w:pPr>
              <w:spacing w:before="60" w:after="0"/>
              <w:jc w:val="center"/>
              <w:rPr>
                <w:b/>
                <w:color w:val="00457D"/>
              </w:rPr>
            </w:pPr>
            <w:r w:rsidRPr="005B4AE1">
              <w:rPr>
                <w:b/>
                <w:color w:val="00457D"/>
              </w:rPr>
              <w:t>Raccomandazioni di sistema</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 xml:space="preserve">Mettere in campo interventi di comunicazione efficaci al fine di vincere l’esitazione vaccinale del maggior numero possibile di persone che non hanno ricevuto nemmeno una dose di vaccino o che non hanno ancora ricevuto la dose </w:t>
            </w:r>
            <w:r w:rsidRPr="005B4AE1">
              <w:rPr>
                <w:i/>
                <w:color w:val="00457D"/>
              </w:rPr>
              <w:t>booster</w:t>
            </w:r>
            <w:r w:rsidRPr="005B4AE1">
              <w:rPr>
                <w:color w:val="00457D"/>
              </w:rPr>
              <w:t>, oltre che dei genitori dei bambini non ancora vaccinati.</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Mantenere l’obbligo di mascherine al chiuso e nei luoghi affollati sino a quando la circolazione del virus non si sarà sensibilmente ridotta.</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 xml:space="preserve">Implementare interventi di formazione per i medici di medicina generale affinché prescrivano </w:t>
            </w:r>
            <w:r w:rsidR="00481C78">
              <w:rPr>
                <w:color w:val="00457D"/>
              </w:rPr>
              <w:t>tempestivamente</w:t>
            </w:r>
            <w:r w:rsidR="00481C78" w:rsidRPr="005B4AE1">
              <w:rPr>
                <w:color w:val="00457D"/>
              </w:rPr>
              <w:t xml:space="preserve"> </w:t>
            </w:r>
            <w:r w:rsidRPr="005B4AE1">
              <w:rPr>
                <w:color w:val="00457D"/>
              </w:rPr>
              <w:t>i farmaci antivirali disponibili ai soggetti a maggior rischio di malattia severa.</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Implementare interventi strutturali per migliorare l’aerazione di spazi chiusi come uffici pubblici o aule scolastiche, per le quali si attendono ancora le linee guida nazionali.</w:t>
            </w:r>
          </w:p>
          <w:p w:rsidR="00AF2C65" w:rsidRPr="005B4AE1" w:rsidRDefault="00AF2C65" w:rsidP="00C42751">
            <w:pPr>
              <w:pStyle w:val="Paragrafoelenco"/>
              <w:numPr>
                <w:ilvl w:val="0"/>
                <w:numId w:val="50"/>
              </w:numPr>
              <w:spacing w:before="60" w:after="0" w:line="240" w:lineRule="auto"/>
              <w:jc w:val="both"/>
              <w:rPr>
                <w:color w:val="00457D"/>
              </w:rPr>
            </w:pPr>
            <w:r w:rsidRPr="005B4AE1">
              <w:rPr>
                <w:color w:val="00457D"/>
              </w:rPr>
              <w:t>Potenziare il sistema di sequenziamento delle varianti virali.</w:t>
            </w:r>
            <w:bookmarkStart w:id="1" w:name="_GoBack"/>
            <w:bookmarkEnd w:id="1"/>
          </w:p>
          <w:p w:rsidR="00AF2C65" w:rsidRPr="00E75BAB" w:rsidRDefault="00AF2C65" w:rsidP="00C42751">
            <w:pPr>
              <w:pStyle w:val="Paragrafoelenco"/>
              <w:numPr>
                <w:ilvl w:val="0"/>
                <w:numId w:val="50"/>
              </w:numPr>
              <w:spacing w:before="60" w:after="0" w:line="240" w:lineRule="auto"/>
              <w:jc w:val="both"/>
              <w:rPr>
                <w:color w:val="auto"/>
              </w:rPr>
            </w:pPr>
            <w:r w:rsidRPr="005B4AE1">
              <w:rPr>
                <w:color w:val="00457D"/>
              </w:rPr>
              <w:t xml:space="preserve">Pianificare la campagna vaccinale autunnale, monitorando l’efficacia vaccinale sulla malattia severa ai fini di un’eventuale somministrazione del secondo </w:t>
            </w:r>
            <w:r w:rsidRPr="005B4AE1">
              <w:rPr>
                <w:i/>
                <w:color w:val="00457D"/>
              </w:rPr>
              <w:t>booster</w:t>
            </w:r>
            <w:r w:rsidRPr="005B4AE1">
              <w:rPr>
                <w:color w:val="00457D"/>
              </w:rPr>
              <w:t xml:space="preserve"> (quarta dose) per i soggetti a maggiore rischio.</w:t>
            </w:r>
          </w:p>
        </w:tc>
      </w:tr>
    </w:tbl>
    <w:p w:rsidR="0039345B" w:rsidRPr="0080409E" w:rsidRDefault="0039345B" w:rsidP="00E66A2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5" w:history="1">
        <w:r w:rsidR="00CE577D" w:rsidRPr="00234B97">
          <w:rPr>
            <w:rStyle w:val="Hyperlink0"/>
          </w:rPr>
          <w:t>https://coronavirus.gimbe.org</w:t>
        </w:r>
      </w:hyperlink>
    </w:p>
    <w:p w:rsidR="00044ABB" w:rsidRPr="00C46A82" w:rsidRDefault="00CE577D" w:rsidP="00C46A82">
      <w:pPr>
        <w:spacing w:after="120"/>
        <w:rPr>
          <w:rFonts w:eastAsia="Calibri" w:cs="Calibri"/>
          <w:color w:val="0563C1"/>
          <w:sz w:val="20"/>
          <w:szCs w:val="20"/>
          <w:u w:val="single" w:color="0563C1"/>
        </w:rPr>
      </w:pPr>
      <w:r w:rsidRPr="00234B97">
        <w:rPr>
          <w:b/>
          <w:bCs/>
        </w:rPr>
        <w:lastRenderedPageBreak/>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6" w:history="1">
        <w:r w:rsidRPr="00234B97">
          <w:rPr>
            <w:rStyle w:val="Hyperlink1"/>
          </w:rPr>
          <w:t>ufficio.stampa@gimbe.org</w:t>
        </w:r>
      </w:hyperlink>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392041">
      <w:pPr>
        <w:jc w:val="center"/>
        <w:rPr>
          <w:b/>
          <w:bCs/>
          <w:color w:val="00457D"/>
          <w:sz w:val="24"/>
          <w:szCs w:val="24"/>
          <w:u w:color="00457D"/>
        </w:rPr>
      </w:pPr>
      <w:r>
        <w:rPr>
          <w:noProof/>
        </w:rPr>
        <w:drawing>
          <wp:inline distT="0" distB="0" distL="0" distR="0" wp14:anchorId="661E76F6" wp14:editId="39C6A29E">
            <wp:extent cx="5760000" cy="319339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392041">
        <w:rPr>
          <w:noProof/>
        </w:rPr>
        <w:drawing>
          <wp:inline distT="0" distB="0" distL="0" distR="0" wp14:anchorId="14596CC8" wp14:editId="45AEDEEA">
            <wp:extent cx="5760000" cy="3192521"/>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rsidSect="005B4AE1">
          <w:headerReference w:type="default" r:id="rId19"/>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0D7077"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60AAA1EE" wp14:editId="0D130905">
            <wp:extent cx="9360000" cy="4810624"/>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0D7077" w:rsidP="00E10DC3">
      <w:pPr>
        <w:spacing w:after="0"/>
        <w:jc w:val="center"/>
        <w:rPr>
          <w:color w:val="auto"/>
        </w:rPr>
      </w:pPr>
      <w:r>
        <w:rPr>
          <w:noProof/>
          <w:color w:val="auto"/>
        </w:rPr>
        <w:drawing>
          <wp:inline distT="0" distB="0" distL="0" distR="0" wp14:anchorId="2E4DCB53" wp14:editId="797E0611">
            <wp:extent cx="5760000" cy="2814192"/>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0D7077" w:rsidP="000E770E">
      <w:pPr>
        <w:spacing w:after="0" w:line="276" w:lineRule="auto"/>
        <w:jc w:val="center"/>
        <w:rPr>
          <w:color w:val="auto"/>
        </w:rPr>
      </w:pPr>
      <w:r>
        <w:rPr>
          <w:noProof/>
          <w:color w:val="auto"/>
        </w:rPr>
        <w:drawing>
          <wp:inline distT="0" distB="0" distL="0" distR="0" wp14:anchorId="72BBAEFC" wp14:editId="253500A5">
            <wp:extent cx="5760000" cy="3118094"/>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0D7077"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7D668098" wp14:editId="6060526F">
            <wp:extent cx="5760000" cy="307239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072390"/>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061647" w:rsidRDefault="00061647" w:rsidP="00061647">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7</w:t>
      </w:r>
    </w:p>
    <w:p w:rsidR="00061647" w:rsidRDefault="000D7077" w:rsidP="0006164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A47590B" wp14:editId="4E2FEA57">
            <wp:extent cx="5760000" cy="288591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885919"/>
                    </a:xfrm>
                    <a:prstGeom prst="rect">
                      <a:avLst/>
                    </a:prstGeom>
                    <a:noFill/>
                  </pic:spPr>
                </pic:pic>
              </a:graphicData>
            </a:graphic>
          </wp:inline>
        </w:drawing>
      </w:r>
      <w:r w:rsidR="00061647">
        <w:rPr>
          <w:b/>
          <w:bCs/>
          <w:color w:val="00457D"/>
          <w:sz w:val="24"/>
          <w:szCs w:val="24"/>
          <w:u w:color="00457D"/>
        </w:rPr>
        <w:br w:type="page"/>
      </w:r>
    </w:p>
    <w:p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061647">
        <w:rPr>
          <w:b/>
          <w:bCs/>
          <w:color w:val="00457D"/>
          <w:sz w:val="24"/>
          <w:szCs w:val="24"/>
          <w:u w:color="00457D"/>
        </w:rPr>
        <w:t>8</w:t>
      </w:r>
    </w:p>
    <w:p w:rsidR="00D93FAE" w:rsidRPr="00D93FAE" w:rsidRDefault="0080409E"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1F3DE24D" wp14:editId="241F5D85">
            <wp:extent cx="5760000" cy="5710434"/>
            <wp:effectExtent l="0" t="0" r="0" b="50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5710434"/>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061647">
        <w:rPr>
          <w:b/>
          <w:bCs/>
          <w:color w:val="00457D"/>
          <w:sz w:val="24"/>
          <w:szCs w:val="24"/>
          <w:u w:color="00457D"/>
        </w:rPr>
        <w:t>9</w:t>
      </w:r>
    </w:p>
    <w:p w:rsidR="003274E5" w:rsidRDefault="000D7077"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62537DF9" wp14:editId="38149E50">
            <wp:extent cx="5760000" cy="279294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lastRenderedPageBreak/>
        <w:t>Figura</w:t>
      </w:r>
      <w:r w:rsidR="006176B8" w:rsidRPr="008049CF">
        <w:rPr>
          <w:b/>
          <w:bCs/>
          <w:color w:val="00457D"/>
          <w:sz w:val="24"/>
          <w:szCs w:val="24"/>
          <w:u w:color="00457D"/>
        </w:rPr>
        <w:t xml:space="preserve"> </w:t>
      </w:r>
      <w:r w:rsidR="00061647" w:rsidRPr="008049CF">
        <w:rPr>
          <w:b/>
          <w:bCs/>
          <w:color w:val="00457D"/>
          <w:sz w:val="24"/>
          <w:szCs w:val="24"/>
          <w:u w:color="00457D"/>
        </w:rPr>
        <w:t>10</w:t>
      </w:r>
    </w:p>
    <w:p w:rsidR="00542585" w:rsidRDefault="000D7077" w:rsidP="00F529F2">
      <w:pPr>
        <w:jc w:val="center"/>
        <w:rPr>
          <w:b/>
          <w:bCs/>
          <w:color w:val="00457D"/>
          <w:sz w:val="24"/>
          <w:szCs w:val="24"/>
          <w:u w:color="00457D"/>
        </w:rPr>
      </w:pPr>
      <w:r>
        <w:rPr>
          <w:b/>
          <w:bCs/>
          <w:noProof/>
          <w:color w:val="00457D"/>
          <w:sz w:val="24"/>
          <w:szCs w:val="24"/>
          <w:u w:color="00457D"/>
        </w:rPr>
        <w:drawing>
          <wp:inline distT="0" distB="0" distL="0" distR="0" wp14:anchorId="0A0A2946" wp14:editId="42DE1D79">
            <wp:extent cx="5760000" cy="4510939"/>
            <wp:effectExtent l="0" t="0" r="0"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510939"/>
                    </a:xfrm>
                    <a:prstGeom prst="rect">
                      <a:avLst/>
                    </a:prstGeom>
                    <a:noFill/>
                  </pic:spPr>
                </pic:pic>
              </a:graphicData>
            </a:graphic>
          </wp:inline>
        </w:drawing>
      </w:r>
    </w:p>
    <w:p w:rsidR="001C70B3" w:rsidRDefault="001C70B3" w:rsidP="00F529F2">
      <w:pPr>
        <w:jc w:val="center"/>
        <w:rPr>
          <w:b/>
          <w:bCs/>
          <w:color w:val="00457D"/>
          <w:sz w:val="24"/>
          <w:szCs w:val="24"/>
          <w:u w:color="00457D"/>
        </w:rPr>
      </w:pP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061647">
        <w:rPr>
          <w:b/>
          <w:bCs/>
          <w:color w:val="00457D"/>
          <w:sz w:val="24"/>
          <w:szCs w:val="24"/>
          <w:u w:color="00457D"/>
        </w:rPr>
        <w:t>1</w:t>
      </w:r>
    </w:p>
    <w:p w:rsidR="00DB1360" w:rsidRDefault="000D7077"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E1D89E4" wp14:editId="2E3FCEFD">
            <wp:extent cx="5760000" cy="3348465"/>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E03BC7" w:rsidRDefault="00E03BC7">
      <w:pPr>
        <w:spacing w:after="0" w:line="240" w:lineRule="auto"/>
        <w:rPr>
          <w:b/>
          <w:bCs/>
          <w:color w:val="00457D"/>
          <w:sz w:val="24"/>
          <w:szCs w:val="24"/>
          <w:u w:color="00457D"/>
        </w:rPr>
      </w:pPr>
      <w:r>
        <w:rPr>
          <w:b/>
          <w:bCs/>
          <w:color w:val="00457D"/>
          <w:sz w:val="24"/>
          <w:szCs w:val="24"/>
          <w:u w:color="00457D"/>
        </w:rPr>
        <w:br w:type="page"/>
      </w: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w:t>
      </w:r>
      <w:r w:rsidR="00061647">
        <w:rPr>
          <w:b/>
          <w:bCs/>
          <w:color w:val="00457D"/>
          <w:sz w:val="24"/>
          <w:szCs w:val="24"/>
          <w:u w:color="00457D"/>
        </w:rPr>
        <w:t>2</w:t>
      </w:r>
    </w:p>
    <w:p w:rsidR="004B6DC2" w:rsidRDefault="000D7077"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0F48D9C" wp14:editId="20E98160">
            <wp:extent cx="5760000" cy="3881274"/>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881274"/>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061647">
        <w:rPr>
          <w:b/>
          <w:bCs/>
          <w:color w:val="00457D"/>
          <w:sz w:val="24"/>
          <w:szCs w:val="24"/>
          <w:u w:color="00457D"/>
        </w:rPr>
        <w:t>3</w:t>
      </w:r>
    </w:p>
    <w:p w:rsidR="001B3764" w:rsidRPr="00466C2D" w:rsidRDefault="000D7077"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9150256" wp14:editId="76077B80">
            <wp:extent cx="5760000" cy="3657340"/>
            <wp:effectExtent l="0" t="0" r="0" b="63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061647">
        <w:rPr>
          <w:b/>
          <w:bCs/>
          <w:color w:val="00457D"/>
          <w:sz w:val="24"/>
          <w:szCs w:val="24"/>
          <w:u w:color="00457D"/>
        </w:rPr>
        <w:t>4</w:t>
      </w:r>
    </w:p>
    <w:p w:rsidR="003D05A8" w:rsidRDefault="000D7077"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1819CAAC" wp14:editId="3080F4FD">
            <wp:extent cx="5760000" cy="3653478"/>
            <wp:effectExtent l="0" t="0" r="0"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653478"/>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211923" w:rsidRPr="00466C2D" w:rsidRDefault="00211923" w:rsidP="00DF30EE">
      <w:pPr>
        <w:spacing w:after="0" w:line="240" w:lineRule="auto"/>
        <w:jc w:val="center"/>
        <w:rPr>
          <w:b/>
          <w:bCs/>
          <w:color w:val="00457D"/>
          <w:sz w:val="24"/>
          <w:szCs w:val="24"/>
          <w:u w:color="00457D"/>
        </w:rPr>
      </w:pP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022C4">
        <w:rPr>
          <w:b/>
          <w:bCs/>
          <w:color w:val="00457D"/>
          <w:sz w:val="24"/>
          <w:szCs w:val="24"/>
          <w:u w:color="00457D"/>
        </w:rPr>
        <w:t>5</w:t>
      </w:r>
    </w:p>
    <w:p w:rsidR="00A15BB4" w:rsidRDefault="000D7077" w:rsidP="00012B67">
      <w:pPr>
        <w:spacing w:line="276" w:lineRule="auto"/>
        <w:jc w:val="center"/>
        <w:rPr>
          <w:color w:val="FF0000"/>
        </w:rPr>
      </w:pPr>
      <w:r>
        <w:rPr>
          <w:noProof/>
          <w:color w:val="FF0000"/>
        </w:rPr>
        <w:drawing>
          <wp:inline distT="0" distB="0" distL="0" distR="0" wp14:anchorId="5E4352D8" wp14:editId="57CE0681">
            <wp:extent cx="5760000" cy="3629807"/>
            <wp:effectExtent l="0" t="0" r="0" b="889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629807"/>
                    </a:xfrm>
                    <a:prstGeom prst="rect">
                      <a:avLst/>
                    </a:prstGeom>
                    <a:noFill/>
                  </pic:spPr>
                </pic:pic>
              </a:graphicData>
            </a:graphic>
          </wp:inline>
        </w:drawing>
      </w:r>
    </w:p>
    <w:p w:rsidR="00DF30EE" w:rsidRDefault="00DF30EE">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p>
    <w:p w:rsidR="001C3537" w:rsidRDefault="001C3537" w:rsidP="00622991">
      <w:pPr>
        <w:spacing w:after="0" w:line="240" w:lineRule="auto"/>
        <w:jc w:val="center"/>
        <w:rPr>
          <w:b/>
          <w:bCs/>
          <w:color w:val="00457D"/>
          <w:sz w:val="24"/>
          <w:szCs w:val="24"/>
          <w:u w:color="00457D"/>
        </w:rPr>
      </w:pPr>
    </w:p>
    <w:p w:rsidR="00E03BC7" w:rsidRDefault="00E03BC7">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sidR="00D022C4">
        <w:rPr>
          <w:b/>
          <w:bCs/>
          <w:color w:val="00457D"/>
          <w:sz w:val="24"/>
          <w:szCs w:val="24"/>
          <w:u w:color="00457D"/>
        </w:rPr>
        <w:t>1</w:t>
      </w:r>
      <w:r w:rsidR="00B12111">
        <w:rPr>
          <w:b/>
          <w:bCs/>
          <w:color w:val="00457D"/>
          <w:sz w:val="24"/>
          <w:szCs w:val="24"/>
          <w:u w:color="00457D"/>
        </w:rPr>
        <w:t>6</w:t>
      </w:r>
    </w:p>
    <w:p w:rsidR="00061647" w:rsidRDefault="000D7077"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5DC5B22" wp14:editId="41A0D9C7">
            <wp:extent cx="5688000" cy="4286081"/>
            <wp:effectExtent l="0" t="0" r="8255"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000" cy="4286081"/>
                    </a:xfrm>
                    <a:prstGeom prst="rect">
                      <a:avLst/>
                    </a:prstGeom>
                    <a:noFill/>
                  </pic:spPr>
                </pic:pic>
              </a:graphicData>
            </a:graphic>
          </wp:inline>
        </w:drawing>
      </w:r>
    </w:p>
    <w:p w:rsidR="00E03BC7" w:rsidRDefault="00E03BC7" w:rsidP="00E03BC7">
      <w:pPr>
        <w:spacing w:after="0" w:line="240" w:lineRule="auto"/>
        <w:jc w:val="center"/>
        <w:rPr>
          <w:b/>
          <w:bCs/>
          <w:color w:val="00457D"/>
          <w:sz w:val="24"/>
          <w:szCs w:val="24"/>
          <w:u w:color="00457D"/>
        </w:rPr>
      </w:pPr>
    </w:p>
    <w:p w:rsidR="001B2CE3" w:rsidRDefault="004B6DC2" w:rsidP="002B5AE9">
      <w:pPr>
        <w:spacing w:after="0" w:line="240" w:lineRule="auto"/>
        <w:jc w:val="center"/>
        <w:rPr>
          <w:b/>
          <w:bCs/>
          <w:color w:val="00457D"/>
          <w:sz w:val="24"/>
          <w:szCs w:val="24"/>
          <w:u w:color="00457D"/>
        </w:rPr>
      </w:pPr>
      <w:r w:rsidRPr="00D001BF">
        <w:rPr>
          <w:b/>
          <w:bCs/>
          <w:color w:val="00457D"/>
          <w:sz w:val="24"/>
          <w:szCs w:val="24"/>
          <w:u w:color="00457D"/>
        </w:rPr>
        <w:t xml:space="preserve">Figura </w:t>
      </w:r>
      <w:r w:rsidR="00D022C4">
        <w:rPr>
          <w:b/>
          <w:bCs/>
          <w:color w:val="00457D"/>
          <w:sz w:val="24"/>
          <w:szCs w:val="24"/>
          <w:u w:color="00457D"/>
        </w:rPr>
        <w:t>1</w:t>
      </w:r>
      <w:r w:rsidR="00D91289">
        <w:rPr>
          <w:b/>
          <w:bCs/>
          <w:color w:val="00457D"/>
          <w:sz w:val="24"/>
          <w:szCs w:val="24"/>
          <w:u w:color="00457D"/>
        </w:rPr>
        <w:t>7</w:t>
      </w:r>
    </w:p>
    <w:p w:rsidR="004B6DC2" w:rsidRDefault="0080409E" w:rsidP="00A462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2CF8A7F" wp14:editId="7F0116DB">
            <wp:extent cx="5652000" cy="4214564"/>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2000" cy="4214564"/>
                    </a:xfrm>
                    <a:prstGeom prst="rect">
                      <a:avLst/>
                    </a:prstGeom>
                    <a:noFill/>
                  </pic:spPr>
                </pic:pic>
              </a:graphicData>
            </a:graphic>
          </wp:inline>
        </w:drawing>
      </w:r>
    </w:p>
    <w:p w:rsidR="006E14AA" w:rsidRDefault="006E14AA" w:rsidP="00A462EE">
      <w:pPr>
        <w:spacing w:after="0" w:line="240" w:lineRule="auto"/>
        <w:jc w:val="center"/>
        <w:rPr>
          <w:b/>
          <w:bCs/>
          <w:color w:val="00457D"/>
          <w:sz w:val="24"/>
          <w:szCs w:val="24"/>
          <w:u w:color="00457D"/>
        </w:rPr>
      </w:pPr>
    </w:p>
    <w:p w:rsidR="00C359C9" w:rsidRDefault="00C359C9" w:rsidP="00C359C9">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18</w:t>
      </w:r>
    </w:p>
    <w:p w:rsidR="006E14AA" w:rsidRDefault="0080409E"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7D6BEE6" wp14:editId="34667AC3">
            <wp:extent cx="5760000" cy="3553042"/>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553042"/>
                    </a:xfrm>
                    <a:prstGeom prst="rect">
                      <a:avLst/>
                    </a:prstGeom>
                    <a:noFill/>
                  </pic:spPr>
                </pic:pic>
              </a:graphicData>
            </a:graphic>
          </wp:inline>
        </w:drawing>
      </w:r>
    </w:p>
    <w:p w:rsidR="006E14AA" w:rsidRDefault="006E14AA" w:rsidP="00C359C9">
      <w:pPr>
        <w:spacing w:after="0" w:line="240" w:lineRule="auto"/>
        <w:jc w:val="center"/>
        <w:rPr>
          <w:b/>
          <w:bCs/>
          <w:color w:val="00457D"/>
          <w:sz w:val="24"/>
          <w:szCs w:val="24"/>
          <w:u w:color="00457D"/>
        </w:rPr>
      </w:pPr>
    </w:p>
    <w:p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19</w:t>
      </w:r>
    </w:p>
    <w:p w:rsidR="007E1AAC" w:rsidRDefault="0080409E"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A805252" wp14:editId="07E2F892">
            <wp:extent cx="5760000" cy="4298414"/>
            <wp:effectExtent l="0" t="0" r="0" b="698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4298414"/>
                    </a:xfrm>
                    <a:prstGeom prst="rect">
                      <a:avLst/>
                    </a:prstGeom>
                    <a:noFill/>
                  </pic:spPr>
                </pic:pic>
              </a:graphicData>
            </a:graphic>
          </wp:inline>
        </w:drawing>
      </w:r>
    </w:p>
    <w:p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6E14AA">
        <w:rPr>
          <w:b/>
          <w:bCs/>
          <w:color w:val="00457D"/>
          <w:sz w:val="24"/>
          <w:szCs w:val="24"/>
          <w:u w:color="00457D"/>
        </w:rPr>
        <w:t>20</w:t>
      </w:r>
    </w:p>
    <w:p w:rsidR="004066D0" w:rsidRDefault="0080409E"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2966B848" wp14:editId="64B86152">
            <wp:extent cx="9360000" cy="5273582"/>
            <wp:effectExtent l="0" t="0" r="0" b="381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60000" cy="5273582"/>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5B4AE1">
          <w:pgSz w:w="16840" w:h="11900" w:orient="landscape"/>
          <w:pgMar w:top="1134" w:right="1134" w:bottom="1134" w:left="1418" w:header="709" w:footer="709" w:gutter="0"/>
          <w:cols w:space="720"/>
          <w:docGrid w:linePitch="299"/>
        </w:sectPr>
      </w:pPr>
    </w:p>
    <w:p w:rsidR="0080409E" w:rsidRDefault="004D16FF" w:rsidP="0080409E">
      <w:pPr>
        <w:spacing w:line="276" w:lineRule="auto"/>
        <w:jc w:val="center"/>
      </w:pPr>
      <w:r w:rsidRPr="00FE45DD">
        <w:rPr>
          <w:b/>
          <w:bCs/>
          <w:color w:val="00457D"/>
          <w:sz w:val="24"/>
          <w:szCs w:val="24"/>
          <w:u w:color="00457D"/>
        </w:rPr>
        <w:lastRenderedPageBreak/>
        <w:t xml:space="preserve">Tabella 1. Indicatori regionali: settimana </w:t>
      </w:r>
      <w:r w:rsidR="0080409E">
        <w:rPr>
          <w:b/>
          <w:bCs/>
          <w:color w:val="00457D"/>
          <w:sz w:val="24"/>
          <w:szCs w:val="24"/>
          <w:u w:color="00457D"/>
        </w:rPr>
        <w:t>23</w:t>
      </w:r>
      <w:r w:rsidR="007E1AAC">
        <w:rPr>
          <w:b/>
          <w:bCs/>
          <w:color w:val="00457D"/>
          <w:sz w:val="24"/>
          <w:szCs w:val="24"/>
          <w:u w:color="00457D"/>
        </w:rPr>
        <w:t>-</w:t>
      </w:r>
      <w:r w:rsidR="0080409E">
        <w:rPr>
          <w:b/>
          <w:bCs/>
          <w:color w:val="00457D"/>
          <w:sz w:val="24"/>
          <w:szCs w:val="24"/>
          <w:u w:color="00457D"/>
        </w:rPr>
        <w:t>29</w:t>
      </w:r>
      <w:r w:rsidR="00120F46" w:rsidRPr="00FE45DD">
        <w:rPr>
          <w:b/>
          <w:bCs/>
          <w:color w:val="00457D"/>
          <w:sz w:val="24"/>
          <w:szCs w:val="24"/>
          <w:u w:color="00457D"/>
        </w:rPr>
        <w:t xml:space="preserve"> marzo</w:t>
      </w:r>
      <w:r w:rsidRPr="00FE45DD">
        <w:rPr>
          <w:b/>
          <w:bCs/>
          <w:color w:val="00457D"/>
          <w:sz w:val="24"/>
          <w:szCs w:val="24"/>
          <w:u w:color="00457D"/>
        </w:rPr>
        <w:t xml:space="preserve"> 2022</w:t>
      </w:r>
    </w:p>
    <w:tbl>
      <w:tblPr>
        <w:tblW w:w="9634" w:type="dxa"/>
        <w:tblCellMar>
          <w:left w:w="70" w:type="dxa"/>
          <w:right w:w="70" w:type="dxa"/>
        </w:tblCellMar>
        <w:tblLook w:val="04A0" w:firstRow="1" w:lastRow="0" w:firstColumn="1" w:lastColumn="0" w:noHBand="0" w:noVBand="1"/>
      </w:tblPr>
      <w:tblGrid>
        <w:gridCol w:w="2122"/>
        <w:gridCol w:w="1660"/>
        <w:gridCol w:w="1458"/>
        <w:gridCol w:w="2268"/>
        <w:gridCol w:w="2126"/>
      </w:tblGrid>
      <w:tr w:rsidR="0080409E" w:rsidRPr="0080409E" w:rsidTr="0080409E">
        <w:trPr>
          <w:trHeight w:val="907"/>
        </w:trPr>
        <w:tc>
          <w:tcPr>
            <w:tcW w:w="2122"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0409E">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80409E">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0409E">
              <w:rPr>
                <w:rFonts w:eastAsia="Times New Roman" w:cs="Calibri"/>
                <w:b/>
                <w:bCs/>
                <w:color w:val="FFFFFF"/>
                <w:bdr w:val="none" w:sz="0" w:space="0" w:color="auto"/>
              </w:rPr>
              <w:t xml:space="preserve">Variazione </w:t>
            </w:r>
            <w:r w:rsidRPr="0080409E">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0409E">
              <w:rPr>
                <w:rFonts w:eastAsia="Times New Roman" w:cs="Calibri"/>
                <w:b/>
                <w:bCs/>
                <w:color w:val="FFFFFF"/>
                <w:bdr w:val="none" w:sz="0" w:space="0" w:color="auto"/>
              </w:rPr>
              <w:t>Posti letto in area medica occupati da pazienti COVID−19</w:t>
            </w:r>
          </w:p>
        </w:tc>
        <w:tc>
          <w:tcPr>
            <w:tcW w:w="2126" w:type="dxa"/>
            <w:tcBorders>
              <w:top w:val="single" w:sz="4" w:space="0" w:color="00457D"/>
              <w:left w:val="nil"/>
              <w:bottom w:val="single" w:sz="4" w:space="0" w:color="00457D"/>
              <w:right w:val="single" w:sz="4" w:space="0" w:color="00457D"/>
            </w:tcBorders>
            <w:shd w:val="clear" w:color="000000" w:fill="00457D"/>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0409E">
              <w:rPr>
                <w:rFonts w:eastAsia="Times New Roman" w:cs="Calibri"/>
                <w:b/>
                <w:bCs/>
                <w:color w:val="FFFFFF"/>
                <w:bdr w:val="none" w:sz="0" w:space="0" w:color="auto"/>
              </w:rPr>
              <w:t xml:space="preserve">Posti letto in terapia intensiva occupati da </w:t>
            </w:r>
            <w:r w:rsidRPr="0080409E">
              <w:rPr>
                <w:rFonts w:eastAsia="Times New Roman" w:cs="Calibri"/>
                <w:b/>
                <w:bCs/>
                <w:color w:val="FFFFFF"/>
                <w:bdr w:val="none" w:sz="0" w:space="0" w:color="auto"/>
              </w:rPr>
              <w:br/>
              <w:t>pazienti COVID−19</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2.951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10,9%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20,6%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8,8%</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4.442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29,3%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5,1%</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3.916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-5,5%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34,1%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10,4%</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2.833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5,5%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17,2%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6,7%</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1.089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11,4%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12,0%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4,5%</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1.909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6,4%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10,3%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4,0%</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2.067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18,7%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8,4%</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1.146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16,0%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3,7%</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1.540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7,4%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9,7%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2,5%</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1.067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-8,5%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23,4%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3,9%</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2.787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7,3%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16,5%</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0,0%</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1.198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3,3%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8,9%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3,5%</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1.153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10,2%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13,6%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1,5%</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735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17,8%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10,8%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2,2%</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2.958</w:t>
            </w:r>
          </w:p>
        </w:tc>
        <w:tc>
          <w:tcPr>
            <w:tcW w:w="1458" w:type="dxa"/>
            <w:tcBorders>
              <w:top w:val="single" w:sz="4" w:space="0" w:color="00457D"/>
              <w:left w:val="single" w:sz="4" w:space="0" w:color="00457D"/>
              <w:bottom w:val="single" w:sz="4" w:space="0" w:color="00457D"/>
              <w:right w:val="single" w:sz="4" w:space="0" w:color="00457D"/>
            </w:tcBorders>
            <w:shd w:val="clear" w:color="auto"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-3,4%</w:t>
            </w:r>
          </w:p>
        </w:tc>
        <w:tc>
          <w:tcPr>
            <w:tcW w:w="2268" w:type="dxa"/>
            <w:tcBorders>
              <w:top w:val="single" w:sz="4" w:space="0" w:color="00457D"/>
              <w:left w:val="single" w:sz="4" w:space="0" w:color="00457D"/>
              <w:bottom w:val="single" w:sz="4" w:space="0" w:color="00457D"/>
              <w:right w:val="single" w:sz="4" w:space="0" w:color="00457D"/>
            </w:tcBorders>
            <w:shd w:val="clear" w:color="auto"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22,3%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7,6%</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1.917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-6,7%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20,3%</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11,3%</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4.625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-11,5%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25,9%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6,8%</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1.321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-4,5%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16,8%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6,7%</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2.239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-16,0%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32,6%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4,7%</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951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-12,5%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12,3%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0,0%</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0409E">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1.568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0409E">
              <w:rPr>
                <w:rFonts w:eastAsia="Times New Roman" w:cs="Calibri"/>
                <w:color w:val="9C0006"/>
                <w:bdr w:val="none" w:sz="0" w:space="0" w:color="auto"/>
              </w:rPr>
              <w:t>11,6%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8,8%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0409E">
              <w:rPr>
                <w:rFonts w:eastAsia="Times New Roman" w:cs="Calibri"/>
                <w:color w:val="006100"/>
                <w:bdr w:val="none" w:sz="0" w:space="0" w:color="auto"/>
              </w:rPr>
              <w:t>2,7%</w:t>
            </w:r>
          </w:p>
        </w:tc>
      </w:tr>
      <w:tr w:rsidR="0080409E" w:rsidRPr="0080409E" w:rsidTr="0080409E">
        <w:trPr>
          <w:trHeight w:val="340"/>
        </w:trPr>
        <w:tc>
          <w:tcPr>
            <w:tcW w:w="2122" w:type="dxa"/>
            <w:tcBorders>
              <w:top w:val="nil"/>
              <w:left w:val="single" w:sz="4" w:space="0" w:color="00457D"/>
              <w:bottom w:val="single" w:sz="4" w:space="0" w:color="00457D"/>
              <w:right w:val="single" w:sz="4" w:space="0" w:color="00457D"/>
            </w:tcBorders>
            <w:shd w:val="clear" w:color="000000" w:fill="00457D"/>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0409E">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0409E">
              <w:rPr>
                <w:rFonts w:eastAsia="Times New Roman" w:cs="Calibri"/>
                <w:b/>
                <w:bCs/>
                <w:color w:val="9C0006"/>
                <w:bdr w:val="none" w:sz="0" w:space="0" w:color="auto"/>
              </w:rPr>
              <w:t>2.124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0409E">
              <w:rPr>
                <w:rFonts w:eastAsia="Times New Roman" w:cs="Calibri"/>
                <w:b/>
                <w:bCs/>
                <w:color w:val="9C0006"/>
                <w:bdr w:val="none" w:sz="0" w:space="0" w:color="auto"/>
              </w:rPr>
              <w:t>0,3%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0409E">
              <w:rPr>
                <w:rFonts w:eastAsia="Times New Roman" w:cs="Calibri"/>
                <w:b/>
                <w:bCs/>
                <w:color w:val="006100"/>
                <w:bdr w:val="none" w:sz="0" w:space="0" w:color="auto"/>
              </w:rPr>
              <w:t>15,0%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0409E">
              <w:rPr>
                <w:rFonts w:eastAsia="Times New Roman" w:cs="Calibri"/>
                <w:b/>
                <w:bCs/>
                <w:color w:val="006100"/>
                <w:bdr w:val="none" w:sz="0" w:space="0" w:color="auto"/>
              </w:rPr>
              <w:t>5,1%</w:t>
            </w:r>
          </w:p>
        </w:tc>
      </w:tr>
      <w:tr w:rsidR="0080409E" w:rsidRPr="0080409E" w:rsidTr="0080409E">
        <w:trPr>
          <w:trHeight w:val="1814"/>
        </w:trPr>
        <w:tc>
          <w:tcPr>
            <w:tcW w:w="9634"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Pr>
                <w:rFonts w:eastAsia="Times New Roman" w:cs="Calibri"/>
                <w:color w:val="auto"/>
                <w:sz w:val="20"/>
                <w:szCs w:val="20"/>
                <w:bdr w:val="none" w:sz="0" w:space="0" w:color="auto"/>
              </w:rPr>
              <w:t>i dati della Regione Sicilia risentono di ricalcoli avvenuti nell’ultima settimana.</w:t>
            </w:r>
          </w:p>
          <w:p w:rsidR="0080409E" w:rsidRPr="0080409E" w:rsidRDefault="0080409E" w:rsidP="00804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80409E">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80409E">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80409E">
              <w:rPr>
                <w:rFonts w:eastAsia="Times New Roman" w:cs="Calibri"/>
                <w:color w:val="auto"/>
                <w:sz w:val="20"/>
                <w:szCs w:val="20"/>
                <w:bdr w:val="none" w:sz="0" w:space="0" w:color="auto"/>
              </w:rPr>
              <w:br/>
              <w:t xml:space="preserve">Nelle ultime 2 colonne i colori rosso e verde indicano il superamento, o meno, della soglia di saturazione del 15% per l’area medica e del 10% per le terapie intensive (dati </w:t>
            </w:r>
            <w:proofErr w:type="spellStart"/>
            <w:r w:rsidRPr="0080409E">
              <w:rPr>
                <w:rFonts w:eastAsia="Times New Roman" w:cs="Calibri"/>
                <w:color w:val="auto"/>
                <w:sz w:val="20"/>
                <w:szCs w:val="20"/>
                <w:bdr w:val="none" w:sz="0" w:space="0" w:color="auto"/>
              </w:rPr>
              <w:t>Agenas</w:t>
            </w:r>
            <w:proofErr w:type="spellEnd"/>
            <w:r w:rsidRPr="0080409E">
              <w:rPr>
                <w:rFonts w:eastAsia="Times New Roman" w:cs="Calibri"/>
                <w:color w:val="auto"/>
                <w:sz w:val="20"/>
                <w:szCs w:val="20"/>
                <w:bdr w:val="none" w:sz="0" w:space="0" w:color="auto"/>
              </w:rPr>
              <w:t xml:space="preserve">). </w:t>
            </w:r>
          </w:p>
        </w:tc>
      </w:tr>
    </w:tbl>
    <w:p w:rsidR="004D16FF" w:rsidRDefault="004D16FF" w:rsidP="004D16FF">
      <w:pPr>
        <w:spacing w:after="0" w:line="240" w:lineRule="auto"/>
      </w:pPr>
      <w:r>
        <w:br w:type="page"/>
      </w:r>
    </w:p>
    <w:p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4D16FF" w:rsidRDefault="004D16FF" w:rsidP="004D16FF">
      <w:pPr>
        <w:spacing w:after="80" w:line="240" w:lineRule="auto"/>
        <w:jc w:val="center"/>
        <w:rPr>
          <w:b/>
          <w:bCs/>
          <w:color w:val="00457D"/>
          <w:spacing w:val="-3"/>
          <w:sz w:val="10"/>
          <w:szCs w:val="10"/>
          <w:u w:color="00457D"/>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1958"/>
        <w:gridCol w:w="1707"/>
      </w:tblGrid>
      <w:tr w:rsidR="00745BD1" w:rsidRPr="005672CD" w:rsidTr="00745BD1">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1958"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80409E">
            <w:pPr>
              <w:spacing w:after="0" w:line="240" w:lineRule="auto"/>
              <w:jc w:val="center"/>
              <w:rPr>
                <w:rFonts w:cs="Calibri"/>
                <w:szCs w:val="20"/>
              </w:rPr>
            </w:pPr>
            <w:r w:rsidRPr="005672CD">
              <w:rPr>
                <w:rFonts w:cs="Calibri"/>
                <w:b/>
                <w:bCs/>
                <w:color w:val="FFFFFF"/>
                <w:szCs w:val="20"/>
                <w:u w:color="FFFFFF"/>
              </w:rPr>
              <w:t xml:space="preserve">Nuovi casi per 100.000 abitanti </w:t>
            </w:r>
            <w:r>
              <w:rPr>
                <w:rFonts w:cs="Calibri"/>
                <w:b/>
                <w:bCs/>
                <w:color w:val="FFFFFF"/>
                <w:szCs w:val="20"/>
                <w:u w:color="FFFFFF"/>
              </w:rPr>
              <w:br/>
            </w:r>
            <w:r w:rsidR="0080409E">
              <w:rPr>
                <w:rFonts w:cs="Calibri"/>
                <w:b/>
                <w:bCs/>
                <w:color w:val="FFFFFF"/>
                <w:szCs w:val="20"/>
                <w:u w:color="FFFFFF"/>
              </w:rPr>
              <w:t>23</w:t>
            </w:r>
            <w:r w:rsidR="007E1AAC">
              <w:rPr>
                <w:rFonts w:cs="Calibri"/>
                <w:b/>
                <w:bCs/>
                <w:color w:val="FFFFFF"/>
                <w:szCs w:val="20"/>
                <w:u w:color="FFFFFF"/>
              </w:rPr>
              <w:t>-</w:t>
            </w:r>
            <w:r w:rsidR="0080409E">
              <w:rPr>
                <w:rFonts w:cs="Calibri"/>
                <w:b/>
                <w:bCs/>
                <w:color w:val="FFFFFF"/>
                <w:szCs w:val="20"/>
                <w:u w:color="FFFFFF"/>
              </w:rPr>
              <w:t>29</w:t>
            </w:r>
            <w:r>
              <w:rPr>
                <w:rFonts w:cs="Calibri"/>
                <w:b/>
                <w:bCs/>
                <w:color w:val="FFFFFF"/>
                <w:szCs w:val="20"/>
                <w:u w:color="FFFFFF"/>
              </w:rPr>
              <w:t xml:space="preserve"> marzo 2022</w:t>
            </w:r>
          </w:p>
        </w:tc>
        <w:tc>
          <w:tcPr>
            <w:tcW w:w="170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745BD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Teramo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1.321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0,6%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Chieti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1.113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14,2%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L'Aquila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1.106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3,9%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Pescara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920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-4,7%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Potenza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1.241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hd w:val="clear" w:color="auto" w:fill="FFC7CE"/>
              <w:spacing w:after="0" w:line="240" w:lineRule="auto"/>
              <w:contextualSpacing/>
              <w:jc w:val="center"/>
              <w:rPr>
                <w:rFonts w:cs="Calibri"/>
                <w:color w:val="auto"/>
              </w:rPr>
            </w:pPr>
            <w:r w:rsidRPr="0080409E">
              <w:rPr>
                <w:rFonts w:eastAsia="Times New Roman" w:cs="Calibri"/>
                <w:color w:val="9C0006"/>
                <w:bdr w:val="none" w:sz="0" w:space="0" w:color="auto"/>
              </w:rPr>
              <w:t>11,7%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Matera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1.004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-14,7%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Reggio di Calabria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1.354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Crotone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1.351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-3,2%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Vibo Valentia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1.064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-22,7%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Cosenza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924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-4,1%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Catanzaro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812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-8,3%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Avellino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1.457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-0,1%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Benevento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1.272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Caserta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1.050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Salerno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1.011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7,4%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Napoli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863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8,9%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Ravenna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670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15,5%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Bologna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661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9,2%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Forlì-Cesena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644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8,1%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Ferrara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614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15,1%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Reggio nell'Emilia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606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11,2%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Modena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575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22,4%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Rimini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8,7%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Parma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468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21,3%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Piacenza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419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17,3%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Trieste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692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Udine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610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12,0%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Gorizia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583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26,6%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Pordenone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522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1.303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Latina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1.133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-3,8%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Frosinone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1.103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-5,8%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Roma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981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-0,4%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Viterbo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883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La Spezia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884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10,9%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Genova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645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-4,7%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Savona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565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lastRenderedPageBreak/>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Imperia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516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Mantova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669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24,9%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Lecco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640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Varese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621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7,3%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Monza e della Brianza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596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12,3%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Milano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593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3,9%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Brescia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17,2%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Como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565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-4,0%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Pavia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542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11,0%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Cremona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506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8,2%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Sondrio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443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Lodi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365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-0,2%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Bergamo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323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10,9%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Ascoli Piceno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1.313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-4,9%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1.226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-16,8%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Ancona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1.087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-3,8%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Macerata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982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Pesaro e Urbino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725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-9,5%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Campobasso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947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7,6%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Isernia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660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6,2%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Bolzano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852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10,2%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Trento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537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17,8%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Alessandria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646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-0,4%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Verbano-Cusio-Ossola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540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Asti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456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0,8%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Torino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433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5,5%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Novara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384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Vercelli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335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-11,8%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Biella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Cuneo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303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14,0%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Lecce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1.774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-14,0%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1.308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Brindisi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1.190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-4,2%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Taranto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7,4%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Foggia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1.057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0,2%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Barletta-Andria-Trani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958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Nuoro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986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48,9%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Oristano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897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-19,1%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Sassari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891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-21,3%</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Cagliari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Sud Sardegna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602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-12,1%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Messina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1.353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-17,0%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Agrigento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1.044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-24,9%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Palermo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992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6,4%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Ragusa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972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-22,1%</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Trapani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964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-6,9%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Caltanissetta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898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-26,7%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Siracusa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783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-16,8%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659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-35,4%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Catania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518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Lucca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1.172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-9,7%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Massa Carrara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1.128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4,4%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Grosseto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1.113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-16,8%</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Siena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1.090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-20,6%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Livorno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1.047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Arezzo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1.019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-5,0%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905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-0,5%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Firenze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749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3,5%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Pistoia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734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-1,4%</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Prato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573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8,6%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Perugia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1.372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-13,6%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Terni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1.162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006100"/>
                <w:bdr w:val="none" w:sz="0" w:space="0" w:color="auto"/>
              </w:rPr>
              <w:t>-22,9%</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Aosta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338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12,2%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Padova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1.076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8,7%</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997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Rovigo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22,6%</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Vicenza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909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15,5%</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Treviso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859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16,2%</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Verona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759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18,0%</w:t>
            </w:r>
          </w:p>
        </w:tc>
      </w:tr>
      <w:tr w:rsidR="0080409E" w:rsidRPr="0080409E" w:rsidTr="0080409E">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rPr>
                <w:rFonts w:cs="Calibri"/>
              </w:rPr>
            </w:pPr>
            <w:r>
              <w:rPr>
                <w:rFonts w:cs="Calibri"/>
              </w:rPr>
              <w:t>Belluno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0409E" w:rsidRDefault="0080409E" w:rsidP="0080409E">
            <w:pPr>
              <w:spacing w:after="0" w:line="240" w:lineRule="auto"/>
              <w:contextualSpacing/>
              <w:jc w:val="center"/>
              <w:rPr>
                <w:rFonts w:cs="Calibri"/>
              </w:rPr>
            </w:pPr>
            <w:r>
              <w:rPr>
                <w:rFonts w:cs="Calibri"/>
              </w:rPr>
              <w:t>604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0409E" w:rsidRPr="0080409E" w:rsidRDefault="0080409E" w:rsidP="0080409E">
            <w:pPr>
              <w:spacing w:after="0" w:line="240" w:lineRule="auto"/>
              <w:contextualSpacing/>
              <w:jc w:val="center"/>
              <w:rPr>
                <w:rFonts w:cs="Calibri"/>
                <w:color w:val="auto"/>
              </w:rPr>
            </w:pPr>
            <w:r w:rsidRPr="0080409E">
              <w:rPr>
                <w:rFonts w:eastAsia="Times New Roman" w:cs="Calibri"/>
                <w:color w:val="9C0006"/>
                <w:bdr w:val="none" w:sz="0" w:space="0" w:color="auto"/>
              </w:rPr>
              <w:t>9,1%</w:t>
            </w:r>
          </w:p>
        </w:tc>
      </w:tr>
      <w:tr w:rsidR="00D91289" w:rsidRPr="005672CD" w:rsidTr="00D91289">
        <w:tblPrEx>
          <w:shd w:val="clear" w:color="auto" w:fill="CDD4E9"/>
        </w:tblPrEx>
        <w:trPr>
          <w:trHeight w:val="20"/>
          <w:jc w:val="center"/>
        </w:trPr>
        <w:tc>
          <w:tcPr>
            <w:tcW w:w="7913"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1289" w:rsidRDefault="002B5E81" w:rsidP="0080409E">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80409E" w:rsidRPr="00234B97" w:rsidRDefault="0080409E"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rsidSect="005B4AE1">
      <w:pgSz w:w="11900" w:h="16840"/>
      <w:pgMar w:top="1134" w:right="1134" w:bottom="1418" w:left="1134"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D600" w16cex:dateUtc="2022-03-30T10:09:00Z"/>
  <w16cex:commentExtensible w16cex:durableId="25EED934" w16cex:dateUtc="2022-03-30T11:27:00Z"/>
  <w16cex:commentExtensible w16cex:durableId="25EED601" w16cex:dateUtc="2022-03-30T10:20:00Z"/>
  <w16cex:commentExtensible w16cex:durableId="25EED969" w16cex:dateUtc="2022-03-30T11:28:00Z"/>
  <w16cex:commentExtensible w16cex:durableId="25EED602" w16cex:dateUtc="2022-03-30T10:11:00Z"/>
  <w16cex:commentExtensible w16cex:durableId="25EED991" w16cex:dateUtc="2022-03-30T11:28:00Z"/>
  <w16cex:commentExtensible w16cex:durableId="25EED603" w16cex:dateUtc="2022-03-30T10:11:00Z"/>
  <w16cex:commentExtensible w16cex:durableId="25EED9B7" w16cex:dateUtc="2022-03-30T11:29:00Z"/>
  <w16cex:commentExtensible w16cex:durableId="25EEDA89" w16cex:dateUtc="2022-03-30T11:32:00Z"/>
  <w16cex:commentExtensible w16cex:durableId="25EED604" w16cex:dateUtc="2022-03-30T09:56:00Z"/>
  <w16cex:commentExtensible w16cex:durableId="25EEDAD0" w16cex:dateUtc="2022-03-30T11:34:00Z"/>
  <w16cex:commentExtensible w16cex:durableId="25EED605" w16cex:dateUtc="2022-03-30T10:29:00Z"/>
  <w16cex:commentExtensible w16cex:durableId="25EED606" w16cex:dateUtc="2022-03-30T10:13:00Z"/>
  <w16cex:commentExtensible w16cex:durableId="25EEDAF7" w16cex:dateUtc="2022-03-30T11:34:00Z"/>
  <w16cex:commentExtensible w16cex:durableId="25EED607" w16cex:dateUtc="2022-03-30T10:15:00Z"/>
  <w16cex:commentExtensible w16cex:durableId="25EEDB0A" w16cex:dateUtc="2022-03-30T11:35:00Z"/>
  <w16cex:commentExtensible w16cex:durableId="25EED608" w16cex:dateUtc="2022-03-30T11:09:00Z"/>
  <w16cex:commentExtensible w16cex:durableId="25EED609" w16cex:dateUtc="2022-03-30T11:04:00Z"/>
  <w16cex:commentExtensible w16cex:durableId="25EED60A" w16cex:dateUtc="2022-03-30T11:01:00Z"/>
  <w16cex:commentExtensible w16cex:durableId="25EEDB30" w16cex:dateUtc="2022-03-30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5A9C" w:rsidRDefault="00965A9C">
      <w:pPr>
        <w:spacing w:after="0" w:line="240" w:lineRule="auto"/>
      </w:pPr>
      <w:r>
        <w:separator/>
      </w:r>
    </w:p>
  </w:endnote>
  <w:endnote w:type="continuationSeparator" w:id="0">
    <w:p w:rsidR="00965A9C" w:rsidRDefault="00965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5A9C" w:rsidRDefault="00965A9C">
      <w:pPr>
        <w:spacing w:after="0" w:line="240" w:lineRule="auto"/>
      </w:pPr>
      <w:r>
        <w:separator/>
      </w:r>
    </w:p>
  </w:footnote>
  <w:footnote w:type="continuationSeparator" w:id="0">
    <w:p w:rsidR="00965A9C" w:rsidRDefault="00965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34A" w:rsidRPr="001B1836" w:rsidRDefault="00EB734A" w:rsidP="001B1836">
    <w:pPr>
      <w:pStyle w:val="Intestazione"/>
      <w:jc w:val="center"/>
      <w:rPr>
        <w:b/>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606A89"/>
    <w:multiLevelType w:val="hybridMultilevel"/>
    <w:tmpl w:val="CE9CC6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7124B2D"/>
    <w:multiLevelType w:val="hybridMultilevel"/>
    <w:tmpl w:val="D040A854"/>
    <w:numStyleLink w:val="Stileimportato2"/>
  </w:abstractNum>
  <w:abstractNum w:abstractNumId="14" w15:restartNumberingAfterBreak="0">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6C4152B6"/>
    <w:multiLevelType w:val="hybridMultilevel"/>
    <w:tmpl w:val="916C592A"/>
    <w:lvl w:ilvl="0" w:tplc="095A2ED0">
      <w:start w:val="1"/>
      <w:numFmt w:val="bullet"/>
      <w:lvlText w:val=""/>
      <w:lvlJc w:val="left"/>
      <w:pPr>
        <w:ind w:left="360" w:hanging="360"/>
      </w:pPr>
      <w:rPr>
        <w:rFonts w:ascii="Symbol" w:hAnsi="Symbol" w:hint="default"/>
        <w:color w:val="00457D"/>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7869D4"/>
    <w:multiLevelType w:val="hybridMultilevel"/>
    <w:tmpl w:val="528EA3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2"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9500E3"/>
    <w:multiLevelType w:val="hybridMultilevel"/>
    <w:tmpl w:val="6B88BF60"/>
    <w:lvl w:ilvl="0" w:tplc="AD087EB6">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CDC63F2"/>
    <w:multiLevelType w:val="hybridMultilevel"/>
    <w:tmpl w:val="F53A4D0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7" w15:restartNumberingAfterBreak="0">
    <w:nsid w:val="7F6D567A"/>
    <w:multiLevelType w:val="hybridMultilevel"/>
    <w:tmpl w:val="7DE8B6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
  </w:num>
  <w:num w:numId="4">
    <w:abstractNumId w:val="13"/>
  </w:num>
  <w:num w:numId="5">
    <w:abstractNumId w:val="15"/>
  </w:num>
  <w:num w:numId="6">
    <w:abstractNumId w:val="43"/>
  </w:num>
  <w:num w:numId="7">
    <w:abstractNumId w:val="22"/>
  </w:num>
  <w:num w:numId="8">
    <w:abstractNumId w:val="2"/>
  </w:num>
  <w:num w:numId="9">
    <w:abstractNumId w:val="34"/>
  </w:num>
  <w:num w:numId="10">
    <w:abstractNumId w:val="6"/>
  </w:num>
  <w:num w:numId="11">
    <w:abstractNumId w:val="37"/>
  </w:num>
  <w:num w:numId="12">
    <w:abstractNumId w:val="0"/>
  </w:num>
  <w:num w:numId="13">
    <w:abstractNumId w:val="9"/>
  </w:num>
  <w:num w:numId="14">
    <w:abstractNumId w:val="27"/>
  </w:num>
  <w:num w:numId="15">
    <w:abstractNumId w:val="30"/>
  </w:num>
  <w:num w:numId="16">
    <w:abstractNumId w:val="11"/>
  </w:num>
  <w:num w:numId="17">
    <w:abstractNumId w:val="5"/>
  </w:num>
  <w:num w:numId="18">
    <w:abstractNumId w:val="16"/>
  </w:num>
  <w:num w:numId="19">
    <w:abstractNumId w:val="26"/>
  </w:num>
  <w:num w:numId="20">
    <w:abstractNumId w:val="4"/>
  </w:num>
  <w:num w:numId="21">
    <w:abstractNumId w:val="29"/>
  </w:num>
  <w:num w:numId="22">
    <w:abstractNumId w:val="19"/>
  </w:num>
  <w:num w:numId="23">
    <w:abstractNumId w:val="21"/>
  </w:num>
  <w:num w:numId="24">
    <w:abstractNumId w:val="25"/>
  </w:num>
  <w:num w:numId="25">
    <w:abstractNumId w:val="1"/>
  </w:num>
  <w:num w:numId="26">
    <w:abstractNumId w:val="24"/>
  </w:num>
  <w:num w:numId="27">
    <w:abstractNumId w:val="8"/>
  </w:num>
  <w:num w:numId="28">
    <w:abstractNumId w:val="36"/>
  </w:num>
  <w:num w:numId="29">
    <w:abstractNumId w:val="28"/>
  </w:num>
  <w:num w:numId="30">
    <w:abstractNumId w:val="10"/>
  </w:num>
  <w:num w:numId="31">
    <w:abstractNumId w:val="20"/>
  </w:num>
  <w:num w:numId="32">
    <w:abstractNumId w:val="44"/>
  </w:num>
  <w:num w:numId="33">
    <w:abstractNumId w:val="40"/>
  </w:num>
  <w:num w:numId="34">
    <w:abstractNumId w:val="38"/>
  </w:num>
  <w:num w:numId="35">
    <w:abstractNumId w:val="42"/>
  </w:num>
  <w:num w:numId="36">
    <w:abstractNumId w:val="33"/>
  </w:num>
  <w:num w:numId="37">
    <w:abstractNumId w:val="35"/>
  </w:num>
  <w:num w:numId="38">
    <w:abstractNumId w:val="32"/>
  </w:num>
  <w:num w:numId="39">
    <w:abstractNumId w:val="23"/>
  </w:num>
  <w:num w:numId="40">
    <w:abstractNumId w:val="18"/>
  </w:num>
  <w:num w:numId="41">
    <w:abstractNumId w:val="14"/>
  </w:num>
  <w:num w:numId="42">
    <w:abstractNumId w:val="18"/>
  </w:num>
  <w:num w:numId="43">
    <w:abstractNumId w:val="45"/>
  </w:num>
  <w:num w:numId="44">
    <w:abstractNumId w:val="47"/>
  </w:num>
  <w:num w:numId="45">
    <w:abstractNumId w:val="42"/>
  </w:num>
  <w:num w:numId="46">
    <w:abstractNumId w:val="46"/>
  </w:num>
  <w:num w:numId="47">
    <w:abstractNumId w:val="41"/>
  </w:num>
  <w:num w:numId="48">
    <w:abstractNumId w:val="12"/>
  </w:num>
  <w:num w:numId="49">
    <w:abstractNumId w:val="31"/>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22A7"/>
    <w:rsid w:val="00002300"/>
    <w:rsid w:val="0000244C"/>
    <w:rsid w:val="000027F8"/>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574"/>
    <w:rsid w:val="00015BAE"/>
    <w:rsid w:val="00016690"/>
    <w:rsid w:val="00017890"/>
    <w:rsid w:val="000206F4"/>
    <w:rsid w:val="0002125E"/>
    <w:rsid w:val="00021C19"/>
    <w:rsid w:val="000222A5"/>
    <w:rsid w:val="00023784"/>
    <w:rsid w:val="00024C2D"/>
    <w:rsid w:val="00026849"/>
    <w:rsid w:val="00027033"/>
    <w:rsid w:val="000300C2"/>
    <w:rsid w:val="0003144B"/>
    <w:rsid w:val="00031CD6"/>
    <w:rsid w:val="00032112"/>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EB9"/>
    <w:rsid w:val="000453E7"/>
    <w:rsid w:val="00046B65"/>
    <w:rsid w:val="0005001A"/>
    <w:rsid w:val="00051038"/>
    <w:rsid w:val="0005206B"/>
    <w:rsid w:val="00052578"/>
    <w:rsid w:val="000531D1"/>
    <w:rsid w:val="000542D3"/>
    <w:rsid w:val="0005433B"/>
    <w:rsid w:val="00054D1D"/>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99B"/>
    <w:rsid w:val="00065C95"/>
    <w:rsid w:val="00066602"/>
    <w:rsid w:val="0006669C"/>
    <w:rsid w:val="00067039"/>
    <w:rsid w:val="000673B6"/>
    <w:rsid w:val="00067B8B"/>
    <w:rsid w:val="00071568"/>
    <w:rsid w:val="00071A13"/>
    <w:rsid w:val="0007243C"/>
    <w:rsid w:val="00072C04"/>
    <w:rsid w:val="00073532"/>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5386"/>
    <w:rsid w:val="00085AF6"/>
    <w:rsid w:val="00085D13"/>
    <w:rsid w:val="000871FB"/>
    <w:rsid w:val="00087236"/>
    <w:rsid w:val="00087B77"/>
    <w:rsid w:val="00091A87"/>
    <w:rsid w:val="00091D56"/>
    <w:rsid w:val="0009249D"/>
    <w:rsid w:val="00093AE7"/>
    <w:rsid w:val="0009411D"/>
    <w:rsid w:val="00095584"/>
    <w:rsid w:val="00095667"/>
    <w:rsid w:val="00095DC5"/>
    <w:rsid w:val="00096350"/>
    <w:rsid w:val="00096577"/>
    <w:rsid w:val="000A00BA"/>
    <w:rsid w:val="000A0380"/>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1A"/>
    <w:rsid w:val="000B21CF"/>
    <w:rsid w:val="000B242E"/>
    <w:rsid w:val="000B2449"/>
    <w:rsid w:val="000B25F9"/>
    <w:rsid w:val="000B3CDF"/>
    <w:rsid w:val="000B4554"/>
    <w:rsid w:val="000B4A82"/>
    <w:rsid w:val="000B53A4"/>
    <w:rsid w:val="000B5AC9"/>
    <w:rsid w:val="000B6238"/>
    <w:rsid w:val="000B68AC"/>
    <w:rsid w:val="000C07AC"/>
    <w:rsid w:val="000C0A45"/>
    <w:rsid w:val="000C0B9A"/>
    <w:rsid w:val="000C22FE"/>
    <w:rsid w:val="000C2BD2"/>
    <w:rsid w:val="000C3C3C"/>
    <w:rsid w:val="000C3DE4"/>
    <w:rsid w:val="000C63F8"/>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7077"/>
    <w:rsid w:val="000D75CD"/>
    <w:rsid w:val="000D7645"/>
    <w:rsid w:val="000D7A69"/>
    <w:rsid w:val="000D7DCE"/>
    <w:rsid w:val="000D7E45"/>
    <w:rsid w:val="000D7EE3"/>
    <w:rsid w:val="000E0BCB"/>
    <w:rsid w:val="000E1A5A"/>
    <w:rsid w:val="000E1ABF"/>
    <w:rsid w:val="000E238A"/>
    <w:rsid w:val="000E2D17"/>
    <w:rsid w:val="000E3472"/>
    <w:rsid w:val="000E476D"/>
    <w:rsid w:val="000E4A1A"/>
    <w:rsid w:val="000E5ABA"/>
    <w:rsid w:val="000E60E1"/>
    <w:rsid w:val="000E60EB"/>
    <w:rsid w:val="000E64DA"/>
    <w:rsid w:val="000E6F3B"/>
    <w:rsid w:val="000E770E"/>
    <w:rsid w:val="000E7A53"/>
    <w:rsid w:val="000F0385"/>
    <w:rsid w:val="000F09AA"/>
    <w:rsid w:val="000F159D"/>
    <w:rsid w:val="000F1EC4"/>
    <w:rsid w:val="000F2082"/>
    <w:rsid w:val="000F2389"/>
    <w:rsid w:val="000F387B"/>
    <w:rsid w:val="000F3AC7"/>
    <w:rsid w:val="000F4209"/>
    <w:rsid w:val="000F4917"/>
    <w:rsid w:val="000F5019"/>
    <w:rsid w:val="000F50A4"/>
    <w:rsid w:val="000F6D38"/>
    <w:rsid w:val="000F6EBD"/>
    <w:rsid w:val="000F6FE7"/>
    <w:rsid w:val="000F7752"/>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06B84"/>
    <w:rsid w:val="00110316"/>
    <w:rsid w:val="001104E4"/>
    <w:rsid w:val="00111ED5"/>
    <w:rsid w:val="00111F9A"/>
    <w:rsid w:val="00112E06"/>
    <w:rsid w:val="001130FB"/>
    <w:rsid w:val="00113933"/>
    <w:rsid w:val="00113F85"/>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7B8"/>
    <w:rsid w:val="001378AD"/>
    <w:rsid w:val="0014031D"/>
    <w:rsid w:val="001410D3"/>
    <w:rsid w:val="0014184C"/>
    <w:rsid w:val="00141E72"/>
    <w:rsid w:val="00141F0A"/>
    <w:rsid w:val="00141F2F"/>
    <w:rsid w:val="00142677"/>
    <w:rsid w:val="001429C0"/>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32BC"/>
    <w:rsid w:val="001533C7"/>
    <w:rsid w:val="001533DC"/>
    <w:rsid w:val="00153627"/>
    <w:rsid w:val="001536E7"/>
    <w:rsid w:val="001546C9"/>
    <w:rsid w:val="00154EE5"/>
    <w:rsid w:val="00157CBE"/>
    <w:rsid w:val="00157E6E"/>
    <w:rsid w:val="00157F8B"/>
    <w:rsid w:val="00161281"/>
    <w:rsid w:val="00161AEE"/>
    <w:rsid w:val="001626C3"/>
    <w:rsid w:val="00162B3C"/>
    <w:rsid w:val="00162BE4"/>
    <w:rsid w:val="00162D8C"/>
    <w:rsid w:val="0016301A"/>
    <w:rsid w:val="0016350E"/>
    <w:rsid w:val="00163CCF"/>
    <w:rsid w:val="00164036"/>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FBE"/>
    <w:rsid w:val="001876F5"/>
    <w:rsid w:val="00187EBF"/>
    <w:rsid w:val="00191EB1"/>
    <w:rsid w:val="00192428"/>
    <w:rsid w:val="0019345D"/>
    <w:rsid w:val="001940FA"/>
    <w:rsid w:val="00194F60"/>
    <w:rsid w:val="001956DC"/>
    <w:rsid w:val="001956DE"/>
    <w:rsid w:val="0019613B"/>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7E62"/>
    <w:rsid w:val="001D7FE5"/>
    <w:rsid w:val="001E1FB2"/>
    <w:rsid w:val="001E2196"/>
    <w:rsid w:val="001E2453"/>
    <w:rsid w:val="001E4641"/>
    <w:rsid w:val="001E4724"/>
    <w:rsid w:val="001E481E"/>
    <w:rsid w:val="001E49E6"/>
    <w:rsid w:val="001E5259"/>
    <w:rsid w:val="001E5653"/>
    <w:rsid w:val="001E5977"/>
    <w:rsid w:val="001E6262"/>
    <w:rsid w:val="001E7AB9"/>
    <w:rsid w:val="001E7D8F"/>
    <w:rsid w:val="001F0985"/>
    <w:rsid w:val="001F1DD8"/>
    <w:rsid w:val="001F1DEB"/>
    <w:rsid w:val="001F1E82"/>
    <w:rsid w:val="001F2A2D"/>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2D0A"/>
    <w:rsid w:val="00204993"/>
    <w:rsid w:val="00204D79"/>
    <w:rsid w:val="002059AE"/>
    <w:rsid w:val="00205B01"/>
    <w:rsid w:val="0020699D"/>
    <w:rsid w:val="00207D85"/>
    <w:rsid w:val="00207EFE"/>
    <w:rsid w:val="00210040"/>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8FC"/>
    <w:rsid w:val="002349E6"/>
    <w:rsid w:val="00234B97"/>
    <w:rsid w:val="00234E8A"/>
    <w:rsid w:val="002351A0"/>
    <w:rsid w:val="00235552"/>
    <w:rsid w:val="00236626"/>
    <w:rsid w:val="0023670C"/>
    <w:rsid w:val="002369FF"/>
    <w:rsid w:val="00236FB0"/>
    <w:rsid w:val="0023721D"/>
    <w:rsid w:val="00240195"/>
    <w:rsid w:val="002408C1"/>
    <w:rsid w:val="00240E86"/>
    <w:rsid w:val="00241542"/>
    <w:rsid w:val="0024188A"/>
    <w:rsid w:val="002427A3"/>
    <w:rsid w:val="00242C77"/>
    <w:rsid w:val="00242F2C"/>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DD"/>
    <w:rsid w:val="00251A96"/>
    <w:rsid w:val="00252D32"/>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F80"/>
    <w:rsid w:val="002634F1"/>
    <w:rsid w:val="00263869"/>
    <w:rsid w:val="00263A36"/>
    <w:rsid w:val="00263BCF"/>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B0423"/>
    <w:rsid w:val="002B0A30"/>
    <w:rsid w:val="002B0ADF"/>
    <w:rsid w:val="002B20E2"/>
    <w:rsid w:val="002B2371"/>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AF9"/>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6EF"/>
    <w:rsid w:val="002D7021"/>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AA0"/>
    <w:rsid w:val="00304225"/>
    <w:rsid w:val="00304954"/>
    <w:rsid w:val="003049F6"/>
    <w:rsid w:val="00305C43"/>
    <w:rsid w:val="00305D40"/>
    <w:rsid w:val="00305FD6"/>
    <w:rsid w:val="00306478"/>
    <w:rsid w:val="00306641"/>
    <w:rsid w:val="003068D2"/>
    <w:rsid w:val="003076C1"/>
    <w:rsid w:val="003106B8"/>
    <w:rsid w:val="00310997"/>
    <w:rsid w:val="003120AF"/>
    <w:rsid w:val="00312170"/>
    <w:rsid w:val="0031239E"/>
    <w:rsid w:val="00312A53"/>
    <w:rsid w:val="00312D49"/>
    <w:rsid w:val="00312E2D"/>
    <w:rsid w:val="00312EB1"/>
    <w:rsid w:val="003148FC"/>
    <w:rsid w:val="003159C9"/>
    <w:rsid w:val="00315A37"/>
    <w:rsid w:val="00315CB0"/>
    <w:rsid w:val="003163EB"/>
    <w:rsid w:val="00317E3D"/>
    <w:rsid w:val="00320D4F"/>
    <w:rsid w:val="00320D92"/>
    <w:rsid w:val="00321CCA"/>
    <w:rsid w:val="00321D29"/>
    <w:rsid w:val="00322631"/>
    <w:rsid w:val="00322C39"/>
    <w:rsid w:val="0032323D"/>
    <w:rsid w:val="0032415F"/>
    <w:rsid w:val="003245C8"/>
    <w:rsid w:val="00324695"/>
    <w:rsid w:val="00325B76"/>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7C3"/>
    <w:rsid w:val="00347F09"/>
    <w:rsid w:val="00350108"/>
    <w:rsid w:val="0035087A"/>
    <w:rsid w:val="00351746"/>
    <w:rsid w:val="003519B6"/>
    <w:rsid w:val="00353CBD"/>
    <w:rsid w:val="00354B9D"/>
    <w:rsid w:val="0035543D"/>
    <w:rsid w:val="003562C6"/>
    <w:rsid w:val="003565D0"/>
    <w:rsid w:val="00357327"/>
    <w:rsid w:val="00360D63"/>
    <w:rsid w:val="00360F67"/>
    <w:rsid w:val="003612F6"/>
    <w:rsid w:val="003614B8"/>
    <w:rsid w:val="00361905"/>
    <w:rsid w:val="00361FB1"/>
    <w:rsid w:val="003621FC"/>
    <w:rsid w:val="003628BF"/>
    <w:rsid w:val="00362CAB"/>
    <w:rsid w:val="00362FDB"/>
    <w:rsid w:val="00363039"/>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1C1D"/>
    <w:rsid w:val="003726E1"/>
    <w:rsid w:val="003727A7"/>
    <w:rsid w:val="00372AFA"/>
    <w:rsid w:val="00372B2C"/>
    <w:rsid w:val="0037304B"/>
    <w:rsid w:val="00373CA2"/>
    <w:rsid w:val="0037430E"/>
    <w:rsid w:val="003744DF"/>
    <w:rsid w:val="003747F1"/>
    <w:rsid w:val="003763C5"/>
    <w:rsid w:val="00376A63"/>
    <w:rsid w:val="00376B57"/>
    <w:rsid w:val="00376B91"/>
    <w:rsid w:val="00376E88"/>
    <w:rsid w:val="00380127"/>
    <w:rsid w:val="00382074"/>
    <w:rsid w:val="0038374F"/>
    <w:rsid w:val="00383A18"/>
    <w:rsid w:val="00383FBD"/>
    <w:rsid w:val="00384423"/>
    <w:rsid w:val="00385025"/>
    <w:rsid w:val="00385142"/>
    <w:rsid w:val="00385C48"/>
    <w:rsid w:val="003874BF"/>
    <w:rsid w:val="003874D0"/>
    <w:rsid w:val="00387D4E"/>
    <w:rsid w:val="003908B8"/>
    <w:rsid w:val="00390F8F"/>
    <w:rsid w:val="00391BD8"/>
    <w:rsid w:val="00391D3F"/>
    <w:rsid w:val="00392041"/>
    <w:rsid w:val="003920FB"/>
    <w:rsid w:val="0039246E"/>
    <w:rsid w:val="003924CD"/>
    <w:rsid w:val="003932D6"/>
    <w:rsid w:val="0039345B"/>
    <w:rsid w:val="00393652"/>
    <w:rsid w:val="00393F63"/>
    <w:rsid w:val="00394375"/>
    <w:rsid w:val="00394447"/>
    <w:rsid w:val="00394992"/>
    <w:rsid w:val="0039505A"/>
    <w:rsid w:val="003950EC"/>
    <w:rsid w:val="00395E21"/>
    <w:rsid w:val="00396346"/>
    <w:rsid w:val="003965BE"/>
    <w:rsid w:val="00396D1B"/>
    <w:rsid w:val="00397CA5"/>
    <w:rsid w:val="003A051C"/>
    <w:rsid w:val="003A0661"/>
    <w:rsid w:val="003A0BC9"/>
    <w:rsid w:val="003A0D49"/>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B0176"/>
    <w:rsid w:val="003B0299"/>
    <w:rsid w:val="003B02F3"/>
    <w:rsid w:val="003B0352"/>
    <w:rsid w:val="003B037E"/>
    <w:rsid w:val="003B0622"/>
    <w:rsid w:val="003B0F67"/>
    <w:rsid w:val="003B19AE"/>
    <w:rsid w:val="003B3D1D"/>
    <w:rsid w:val="003B3D8B"/>
    <w:rsid w:val="003B4640"/>
    <w:rsid w:val="003B4A61"/>
    <w:rsid w:val="003B53A4"/>
    <w:rsid w:val="003B5F29"/>
    <w:rsid w:val="003B632B"/>
    <w:rsid w:val="003B6B24"/>
    <w:rsid w:val="003B6F85"/>
    <w:rsid w:val="003B720F"/>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65"/>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8D2"/>
    <w:rsid w:val="003F2987"/>
    <w:rsid w:val="003F5167"/>
    <w:rsid w:val="003F534E"/>
    <w:rsid w:val="003F5612"/>
    <w:rsid w:val="003F6A5F"/>
    <w:rsid w:val="003F6A89"/>
    <w:rsid w:val="003F6C05"/>
    <w:rsid w:val="003F7223"/>
    <w:rsid w:val="003F7469"/>
    <w:rsid w:val="003F7493"/>
    <w:rsid w:val="00400FA8"/>
    <w:rsid w:val="00401C4B"/>
    <w:rsid w:val="004024E8"/>
    <w:rsid w:val="00402E63"/>
    <w:rsid w:val="00403151"/>
    <w:rsid w:val="0040351E"/>
    <w:rsid w:val="00403D87"/>
    <w:rsid w:val="00403F26"/>
    <w:rsid w:val="004041F5"/>
    <w:rsid w:val="004044E5"/>
    <w:rsid w:val="00405588"/>
    <w:rsid w:val="004055EE"/>
    <w:rsid w:val="00406554"/>
    <w:rsid w:val="004066D0"/>
    <w:rsid w:val="004071AC"/>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6CA"/>
    <w:rsid w:val="00415795"/>
    <w:rsid w:val="004167BB"/>
    <w:rsid w:val="00417326"/>
    <w:rsid w:val="00417D75"/>
    <w:rsid w:val="00420736"/>
    <w:rsid w:val="00421389"/>
    <w:rsid w:val="0042267C"/>
    <w:rsid w:val="0042340E"/>
    <w:rsid w:val="004235BB"/>
    <w:rsid w:val="004243B2"/>
    <w:rsid w:val="004254C7"/>
    <w:rsid w:val="00426290"/>
    <w:rsid w:val="00431177"/>
    <w:rsid w:val="004315A5"/>
    <w:rsid w:val="00431BFD"/>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5764"/>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75"/>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1C78"/>
    <w:rsid w:val="004821B7"/>
    <w:rsid w:val="004824DB"/>
    <w:rsid w:val="0048254D"/>
    <w:rsid w:val="0048276B"/>
    <w:rsid w:val="00482785"/>
    <w:rsid w:val="00482E79"/>
    <w:rsid w:val="0048371B"/>
    <w:rsid w:val="00483722"/>
    <w:rsid w:val="00483C7A"/>
    <w:rsid w:val="00483FB7"/>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619"/>
    <w:rsid w:val="004A7B51"/>
    <w:rsid w:val="004A7CFD"/>
    <w:rsid w:val="004A7D7C"/>
    <w:rsid w:val="004B0168"/>
    <w:rsid w:val="004B0AA5"/>
    <w:rsid w:val="004B102C"/>
    <w:rsid w:val="004B1639"/>
    <w:rsid w:val="004B1E0F"/>
    <w:rsid w:val="004B248A"/>
    <w:rsid w:val="004B316D"/>
    <w:rsid w:val="004B3E0A"/>
    <w:rsid w:val="004B3EBB"/>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5FC"/>
    <w:rsid w:val="004C774D"/>
    <w:rsid w:val="004D0234"/>
    <w:rsid w:val="004D0247"/>
    <w:rsid w:val="004D0801"/>
    <w:rsid w:val="004D090A"/>
    <w:rsid w:val="004D0D54"/>
    <w:rsid w:val="004D0E27"/>
    <w:rsid w:val="004D0E65"/>
    <w:rsid w:val="004D0E8A"/>
    <w:rsid w:val="004D16FF"/>
    <w:rsid w:val="004D1B4B"/>
    <w:rsid w:val="004D1C78"/>
    <w:rsid w:val="004D26F0"/>
    <w:rsid w:val="004D2A97"/>
    <w:rsid w:val="004D2E6B"/>
    <w:rsid w:val="004D39E9"/>
    <w:rsid w:val="004D3C41"/>
    <w:rsid w:val="004D3CD7"/>
    <w:rsid w:val="004D3DFD"/>
    <w:rsid w:val="004D49EC"/>
    <w:rsid w:val="004D4C65"/>
    <w:rsid w:val="004D52D6"/>
    <w:rsid w:val="004D5525"/>
    <w:rsid w:val="004D562D"/>
    <w:rsid w:val="004D5CB3"/>
    <w:rsid w:val="004D5CBF"/>
    <w:rsid w:val="004D7ABD"/>
    <w:rsid w:val="004D7E87"/>
    <w:rsid w:val="004E0DD7"/>
    <w:rsid w:val="004E117D"/>
    <w:rsid w:val="004E18F8"/>
    <w:rsid w:val="004E220C"/>
    <w:rsid w:val="004E289D"/>
    <w:rsid w:val="004E3F56"/>
    <w:rsid w:val="004E3F72"/>
    <w:rsid w:val="004E4163"/>
    <w:rsid w:val="004E506C"/>
    <w:rsid w:val="004E555F"/>
    <w:rsid w:val="004E6084"/>
    <w:rsid w:val="004E61A3"/>
    <w:rsid w:val="004E6C61"/>
    <w:rsid w:val="004F0669"/>
    <w:rsid w:val="004F07A7"/>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572"/>
    <w:rsid w:val="00510F4E"/>
    <w:rsid w:val="005110E4"/>
    <w:rsid w:val="00511BFE"/>
    <w:rsid w:val="00512377"/>
    <w:rsid w:val="00513024"/>
    <w:rsid w:val="00513780"/>
    <w:rsid w:val="00514887"/>
    <w:rsid w:val="00516F1E"/>
    <w:rsid w:val="00517884"/>
    <w:rsid w:val="005200F6"/>
    <w:rsid w:val="005200FB"/>
    <w:rsid w:val="005206D7"/>
    <w:rsid w:val="005207B1"/>
    <w:rsid w:val="00520CC0"/>
    <w:rsid w:val="00521427"/>
    <w:rsid w:val="00521485"/>
    <w:rsid w:val="005216C3"/>
    <w:rsid w:val="005223FE"/>
    <w:rsid w:val="005239E5"/>
    <w:rsid w:val="005265EC"/>
    <w:rsid w:val="005268E4"/>
    <w:rsid w:val="00526970"/>
    <w:rsid w:val="00526D10"/>
    <w:rsid w:val="00526D94"/>
    <w:rsid w:val="00527260"/>
    <w:rsid w:val="005278CA"/>
    <w:rsid w:val="00527AB3"/>
    <w:rsid w:val="0053071C"/>
    <w:rsid w:val="00530B88"/>
    <w:rsid w:val="00530CC1"/>
    <w:rsid w:val="00531712"/>
    <w:rsid w:val="00531E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C90"/>
    <w:rsid w:val="005521C0"/>
    <w:rsid w:val="00552753"/>
    <w:rsid w:val="00553823"/>
    <w:rsid w:val="00553D22"/>
    <w:rsid w:val="00553FF4"/>
    <w:rsid w:val="005549FE"/>
    <w:rsid w:val="00554C0B"/>
    <w:rsid w:val="00554F5B"/>
    <w:rsid w:val="00555BDA"/>
    <w:rsid w:val="00555D82"/>
    <w:rsid w:val="005568AB"/>
    <w:rsid w:val="00557000"/>
    <w:rsid w:val="005574C5"/>
    <w:rsid w:val="0055798A"/>
    <w:rsid w:val="00557FA5"/>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6364"/>
    <w:rsid w:val="00576516"/>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46E"/>
    <w:rsid w:val="00587698"/>
    <w:rsid w:val="0058785D"/>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4857"/>
    <w:rsid w:val="005A52DD"/>
    <w:rsid w:val="005A57C5"/>
    <w:rsid w:val="005A6770"/>
    <w:rsid w:val="005A735E"/>
    <w:rsid w:val="005A755B"/>
    <w:rsid w:val="005A7880"/>
    <w:rsid w:val="005B083D"/>
    <w:rsid w:val="005B103D"/>
    <w:rsid w:val="005B129C"/>
    <w:rsid w:val="005B13D3"/>
    <w:rsid w:val="005B1AF1"/>
    <w:rsid w:val="005B3275"/>
    <w:rsid w:val="005B3D56"/>
    <w:rsid w:val="005B44BB"/>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18"/>
    <w:rsid w:val="005D63FA"/>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72A"/>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0184"/>
    <w:rsid w:val="00601177"/>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3E5"/>
    <w:rsid w:val="0061675A"/>
    <w:rsid w:val="00617672"/>
    <w:rsid w:val="006176B8"/>
    <w:rsid w:val="006179CD"/>
    <w:rsid w:val="00617ADC"/>
    <w:rsid w:val="00617D14"/>
    <w:rsid w:val="0062012B"/>
    <w:rsid w:val="006204CC"/>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B10"/>
    <w:rsid w:val="00634030"/>
    <w:rsid w:val="00634433"/>
    <w:rsid w:val="00634936"/>
    <w:rsid w:val="006362D6"/>
    <w:rsid w:val="006369E2"/>
    <w:rsid w:val="00636A4A"/>
    <w:rsid w:val="00636D6F"/>
    <w:rsid w:val="006370BE"/>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D4"/>
    <w:rsid w:val="00653636"/>
    <w:rsid w:val="0065366C"/>
    <w:rsid w:val="006537D6"/>
    <w:rsid w:val="00653A32"/>
    <w:rsid w:val="00655803"/>
    <w:rsid w:val="00655A1E"/>
    <w:rsid w:val="00656118"/>
    <w:rsid w:val="00656F03"/>
    <w:rsid w:val="00657CF1"/>
    <w:rsid w:val="00657DDC"/>
    <w:rsid w:val="006603AC"/>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62C5"/>
    <w:rsid w:val="006666A9"/>
    <w:rsid w:val="00666867"/>
    <w:rsid w:val="00666A47"/>
    <w:rsid w:val="00670CBD"/>
    <w:rsid w:val="00670CE4"/>
    <w:rsid w:val="00672BE3"/>
    <w:rsid w:val="00672C34"/>
    <w:rsid w:val="00672F5A"/>
    <w:rsid w:val="0067368F"/>
    <w:rsid w:val="00673E96"/>
    <w:rsid w:val="006743B7"/>
    <w:rsid w:val="0067511C"/>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305E"/>
    <w:rsid w:val="006A37A7"/>
    <w:rsid w:val="006A3AEF"/>
    <w:rsid w:val="006A3F3C"/>
    <w:rsid w:val="006A4C22"/>
    <w:rsid w:val="006A5D49"/>
    <w:rsid w:val="006A7099"/>
    <w:rsid w:val="006A7F61"/>
    <w:rsid w:val="006B0B88"/>
    <w:rsid w:val="006B0D74"/>
    <w:rsid w:val="006B1CCB"/>
    <w:rsid w:val="006B344A"/>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2126"/>
    <w:rsid w:val="006C2782"/>
    <w:rsid w:val="006C2933"/>
    <w:rsid w:val="006C2BF6"/>
    <w:rsid w:val="006C2FDF"/>
    <w:rsid w:val="006C322E"/>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45F8"/>
    <w:rsid w:val="00714C4E"/>
    <w:rsid w:val="00715C90"/>
    <w:rsid w:val="00715CA2"/>
    <w:rsid w:val="00715F55"/>
    <w:rsid w:val="00716422"/>
    <w:rsid w:val="00716676"/>
    <w:rsid w:val="00716FA6"/>
    <w:rsid w:val="00717415"/>
    <w:rsid w:val="007176F0"/>
    <w:rsid w:val="0072059E"/>
    <w:rsid w:val="00720639"/>
    <w:rsid w:val="00721048"/>
    <w:rsid w:val="00721D49"/>
    <w:rsid w:val="007230A4"/>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BD1"/>
    <w:rsid w:val="00745D53"/>
    <w:rsid w:val="00746998"/>
    <w:rsid w:val="00746D21"/>
    <w:rsid w:val="0074714C"/>
    <w:rsid w:val="00747B61"/>
    <w:rsid w:val="00750B6D"/>
    <w:rsid w:val="0075139D"/>
    <w:rsid w:val="0075163A"/>
    <w:rsid w:val="00752906"/>
    <w:rsid w:val="00752DD8"/>
    <w:rsid w:val="00753317"/>
    <w:rsid w:val="00753DEA"/>
    <w:rsid w:val="00753E57"/>
    <w:rsid w:val="007553D7"/>
    <w:rsid w:val="00755427"/>
    <w:rsid w:val="00756894"/>
    <w:rsid w:val="007575B8"/>
    <w:rsid w:val="00757965"/>
    <w:rsid w:val="00760751"/>
    <w:rsid w:val="00760CD8"/>
    <w:rsid w:val="00760FA9"/>
    <w:rsid w:val="0076144A"/>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5D4B"/>
    <w:rsid w:val="00796514"/>
    <w:rsid w:val="00796744"/>
    <w:rsid w:val="00796F41"/>
    <w:rsid w:val="00797493"/>
    <w:rsid w:val="00797AB7"/>
    <w:rsid w:val="007A01BF"/>
    <w:rsid w:val="007A0D05"/>
    <w:rsid w:val="007A2B0B"/>
    <w:rsid w:val="007A2D20"/>
    <w:rsid w:val="007A3E8B"/>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682B"/>
    <w:rsid w:val="007B6DAF"/>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E6E"/>
    <w:rsid w:val="007E30D5"/>
    <w:rsid w:val="007E34D2"/>
    <w:rsid w:val="007E3BE5"/>
    <w:rsid w:val="007E3D23"/>
    <w:rsid w:val="007E445B"/>
    <w:rsid w:val="007E4710"/>
    <w:rsid w:val="007E4775"/>
    <w:rsid w:val="007E5D35"/>
    <w:rsid w:val="007E61A7"/>
    <w:rsid w:val="007E629F"/>
    <w:rsid w:val="007E73DE"/>
    <w:rsid w:val="007E79D7"/>
    <w:rsid w:val="007F1012"/>
    <w:rsid w:val="007F139F"/>
    <w:rsid w:val="007F1BAD"/>
    <w:rsid w:val="007F1FA7"/>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9CF"/>
    <w:rsid w:val="008061EC"/>
    <w:rsid w:val="00806579"/>
    <w:rsid w:val="00811174"/>
    <w:rsid w:val="008119C5"/>
    <w:rsid w:val="00811B49"/>
    <w:rsid w:val="00811CBC"/>
    <w:rsid w:val="00812023"/>
    <w:rsid w:val="008127B8"/>
    <w:rsid w:val="00813661"/>
    <w:rsid w:val="00813DD6"/>
    <w:rsid w:val="00813F9F"/>
    <w:rsid w:val="00814786"/>
    <w:rsid w:val="00814DCC"/>
    <w:rsid w:val="00815D0F"/>
    <w:rsid w:val="00815E48"/>
    <w:rsid w:val="008160C8"/>
    <w:rsid w:val="0081624D"/>
    <w:rsid w:val="008163F2"/>
    <w:rsid w:val="00816811"/>
    <w:rsid w:val="00821434"/>
    <w:rsid w:val="00822041"/>
    <w:rsid w:val="00822759"/>
    <w:rsid w:val="00824DF6"/>
    <w:rsid w:val="0082558A"/>
    <w:rsid w:val="00825C99"/>
    <w:rsid w:val="00827B8E"/>
    <w:rsid w:val="0083203D"/>
    <w:rsid w:val="008327BE"/>
    <w:rsid w:val="0083354D"/>
    <w:rsid w:val="00833A0A"/>
    <w:rsid w:val="00833D33"/>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5A"/>
    <w:rsid w:val="008568BE"/>
    <w:rsid w:val="008574A0"/>
    <w:rsid w:val="00857AB0"/>
    <w:rsid w:val="008602F0"/>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B0E"/>
    <w:rsid w:val="00875CFB"/>
    <w:rsid w:val="00875ED5"/>
    <w:rsid w:val="00876CA0"/>
    <w:rsid w:val="00877372"/>
    <w:rsid w:val="008777DB"/>
    <w:rsid w:val="008807AE"/>
    <w:rsid w:val="0088094C"/>
    <w:rsid w:val="00880B59"/>
    <w:rsid w:val="00880B5D"/>
    <w:rsid w:val="00880C14"/>
    <w:rsid w:val="0088142A"/>
    <w:rsid w:val="00881788"/>
    <w:rsid w:val="008823A3"/>
    <w:rsid w:val="0088256B"/>
    <w:rsid w:val="008828C6"/>
    <w:rsid w:val="008828FB"/>
    <w:rsid w:val="00883915"/>
    <w:rsid w:val="00884B82"/>
    <w:rsid w:val="00885CF3"/>
    <w:rsid w:val="00885D48"/>
    <w:rsid w:val="00885FFC"/>
    <w:rsid w:val="008864FB"/>
    <w:rsid w:val="008866A2"/>
    <w:rsid w:val="008867EF"/>
    <w:rsid w:val="00887401"/>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8D1"/>
    <w:rsid w:val="008A6C7F"/>
    <w:rsid w:val="008A7927"/>
    <w:rsid w:val="008A7B7E"/>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577"/>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22F"/>
    <w:rsid w:val="008F039D"/>
    <w:rsid w:val="008F04B0"/>
    <w:rsid w:val="008F0A73"/>
    <w:rsid w:val="008F11C8"/>
    <w:rsid w:val="008F2195"/>
    <w:rsid w:val="008F284F"/>
    <w:rsid w:val="008F29A1"/>
    <w:rsid w:val="008F2AB2"/>
    <w:rsid w:val="008F3730"/>
    <w:rsid w:val="008F3DF3"/>
    <w:rsid w:val="008F41E1"/>
    <w:rsid w:val="008F4EDC"/>
    <w:rsid w:val="008F66E7"/>
    <w:rsid w:val="008F76A3"/>
    <w:rsid w:val="00900B1E"/>
    <w:rsid w:val="0090300F"/>
    <w:rsid w:val="00903588"/>
    <w:rsid w:val="009039F1"/>
    <w:rsid w:val="00903B7D"/>
    <w:rsid w:val="00903DE5"/>
    <w:rsid w:val="00904498"/>
    <w:rsid w:val="00905176"/>
    <w:rsid w:val="009057D9"/>
    <w:rsid w:val="00905FCC"/>
    <w:rsid w:val="009061FE"/>
    <w:rsid w:val="00906BDB"/>
    <w:rsid w:val="00906FB7"/>
    <w:rsid w:val="00907D11"/>
    <w:rsid w:val="00910EAA"/>
    <w:rsid w:val="00910F5F"/>
    <w:rsid w:val="0091168C"/>
    <w:rsid w:val="00911864"/>
    <w:rsid w:val="00912454"/>
    <w:rsid w:val="009129F1"/>
    <w:rsid w:val="00913182"/>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269C8"/>
    <w:rsid w:val="00927D5F"/>
    <w:rsid w:val="00930098"/>
    <w:rsid w:val="00930D8E"/>
    <w:rsid w:val="0093219B"/>
    <w:rsid w:val="009322D3"/>
    <w:rsid w:val="009326A6"/>
    <w:rsid w:val="00932D7B"/>
    <w:rsid w:val="00932E57"/>
    <w:rsid w:val="009332D3"/>
    <w:rsid w:val="009341DB"/>
    <w:rsid w:val="0093429F"/>
    <w:rsid w:val="009346D0"/>
    <w:rsid w:val="00935100"/>
    <w:rsid w:val="00935328"/>
    <w:rsid w:val="00935401"/>
    <w:rsid w:val="009362CC"/>
    <w:rsid w:val="00936B4D"/>
    <w:rsid w:val="00936BBD"/>
    <w:rsid w:val="00936D85"/>
    <w:rsid w:val="00937D72"/>
    <w:rsid w:val="009403CB"/>
    <w:rsid w:val="00940E5B"/>
    <w:rsid w:val="00941445"/>
    <w:rsid w:val="009427FE"/>
    <w:rsid w:val="00942B70"/>
    <w:rsid w:val="00942F02"/>
    <w:rsid w:val="00944092"/>
    <w:rsid w:val="009450D2"/>
    <w:rsid w:val="009454D3"/>
    <w:rsid w:val="00945FC3"/>
    <w:rsid w:val="00945FDF"/>
    <w:rsid w:val="00946299"/>
    <w:rsid w:val="0094638F"/>
    <w:rsid w:val="009466A4"/>
    <w:rsid w:val="00946F06"/>
    <w:rsid w:val="00946F37"/>
    <w:rsid w:val="00947096"/>
    <w:rsid w:val="00947330"/>
    <w:rsid w:val="00947865"/>
    <w:rsid w:val="00947B4E"/>
    <w:rsid w:val="00950BAE"/>
    <w:rsid w:val="00951CAA"/>
    <w:rsid w:val="00952462"/>
    <w:rsid w:val="0095311B"/>
    <w:rsid w:val="00953D24"/>
    <w:rsid w:val="00955021"/>
    <w:rsid w:val="0095508A"/>
    <w:rsid w:val="00955123"/>
    <w:rsid w:val="00955B70"/>
    <w:rsid w:val="009562A0"/>
    <w:rsid w:val="0095662D"/>
    <w:rsid w:val="00957769"/>
    <w:rsid w:val="00957E32"/>
    <w:rsid w:val="00957FD4"/>
    <w:rsid w:val="0096086B"/>
    <w:rsid w:val="00960BCD"/>
    <w:rsid w:val="00960D54"/>
    <w:rsid w:val="00960FEE"/>
    <w:rsid w:val="00961084"/>
    <w:rsid w:val="009615E6"/>
    <w:rsid w:val="0096190C"/>
    <w:rsid w:val="00961D34"/>
    <w:rsid w:val="00962F4F"/>
    <w:rsid w:val="009630F6"/>
    <w:rsid w:val="009643C6"/>
    <w:rsid w:val="00965A9C"/>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FFB"/>
    <w:rsid w:val="009851D2"/>
    <w:rsid w:val="00985E6B"/>
    <w:rsid w:val="00985F02"/>
    <w:rsid w:val="00986267"/>
    <w:rsid w:val="00986C25"/>
    <w:rsid w:val="0098713B"/>
    <w:rsid w:val="0098799E"/>
    <w:rsid w:val="0099024A"/>
    <w:rsid w:val="00990312"/>
    <w:rsid w:val="009905F1"/>
    <w:rsid w:val="00990A83"/>
    <w:rsid w:val="00991024"/>
    <w:rsid w:val="00991D73"/>
    <w:rsid w:val="00991EFB"/>
    <w:rsid w:val="00992766"/>
    <w:rsid w:val="00992960"/>
    <w:rsid w:val="00992CAE"/>
    <w:rsid w:val="00992CF1"/>
    <w:rsid w:val="00993209"/>
    <w:rsid w:val="00993472"/>
    <w:rsid w:val="00993DFA"/>
    <w:rsid w:val="00993E22"/>
    <w:rsid w:val="00994E84"/>
    <w:rsid w:val="009972A4"/>
    <w:rsid w:val="00997C03"/>
    <w:rsid w:val="00997E70"/>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9D2"/>
    <w:rsid w:val="009B067C"/>
    <w:rsid w:val="009B13A0"/>
    <w:rsid w:val="009B286F"/>
    <w:rsid w:val="009B2C8D"/>
    <w:rsid w:val="009B2F08"/>
    <w:rsid w:val="009B371B"/>
    <w:rsid w:val="009B4B46"/>
    <w:rsid w:val="009B563A"/>
    <w:rsid w:val="009B5DA0"/>
    <w:rsid w:val="009B6252"/>
    <w:rsid w:val="009B71E8"/>
    <w:rsid w:val="009B7C08"/>
    <w:rsid w:val="009B7CBC"/>
    <w:rsid w:val="009B7DFF"/>
    <w:rsid w:val="009C0E68"/>
    <w:rsid w:val="009C0F77"/>
    <w:rsid w:val="009C1CD8"/>
    <w:rsid w:val="009C32CB"/>
    <w:rsid w:val="009C36F3"/>
    <w:rsid w:val="009C41D8"/>
    <w:rsid w:val="009C44C5"/>
    <w:rsid w:val="009C468E"/>
    <w:rsid w:val="009C48C9"/>
    <w:rsid w:val="009C4904"/>
    <w:rsid w:val="009C7A93"/>
    <w:rsid w:val="009D052A"/>
    <w:rsid w:val="009D0C36"/>
    <w:rsid w:val="009D1699"/>
    <w:rsid w:val="009D2A6C"/>
    <w:rsid w:val="009D348E"/>
    <w:rsid w:val="009D4A03"/>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31F4"/>
    <w:rsid w:val="009F33ED"/>
    <w:rsid w:val="009F4D03"/>
    <w:rsid w:val="009F5279"/>
    <w:rsid w:val="009F5E07"/>
    <w:rsid w:val="009F5E5D"/>
    <w:rsid w:val="009F5E8D"/>
    <w:rsid w:val="009F73FD"/>
    <w:rsid w:val="009F764A"/>
    <w:rsid w:val="009F7725"/>
    <w:rsid w:val="009F77A2"/>
    <w:rsid w:val="00A00F54"/>
    <w:rsid w:val="00A014E1"/>
    <w:rsid w:val="00A01528"/>
    <w:rsid w:val="00A02710"/>
    <w:rsid w:val="00A02B6E"/>
    <w:rsid w:val="00A02FE6"/>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C6"/>
    <w:rsid w:val="00A269CF"/>
    <w:rsid w:val="00A26D24"/>
    <w:rsid w:val="00A303CB"/>
    <w:rsid w:val="00A303F6"/>
    <w:rsid w:val="00A30596"/>
    <w:rsid w:val="00A3065C"/>
    <w:rsid w:val="00A306BD"/>
    <w:rsid w:val="00A314DD"/>
    <w:rsid w:val="00A321C6"/>
    <w:rsid w:val="00A32AD4"/>
    <w:rsid w:val="00A3302D"/>
    <w:rsid w:val="00A33529"/>
    <w:rsid w:val="00A33BE7"/>
    <w:rsid w:val="00A33F59"/>
    <w:rsid w:val="00A346DD"/>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50579"/>
    <w:rsid w:val="00A5060E"/>
    <w:rsid w:val="00A5083C"/>
    <w:rsid w:val="00A50F88"/>
    <w:rsid w:val="00A51B01"/>
    <w:rsid w:val="00A51CC9"/>
    <w:rsid w:val="00A51DC5"/>
    <w:rsid w:val="00A525F7"/>
    <w:rsid w:val="00A52BDE"/>
    <w:rsid w:val="00A5313A"/>
    <w:rsid w:val="00A53C37"/>
    <w:rsid w:val="00A54479"/>
    <w:rsid w:val="00A553F8"/>
    <w:rsid w:val="00A554EF"/>
    <w:rsid w:val="00A5573C"/>
    <w:rsid w:val="00A5586E"/>
    <w:rsid w:val="00A564F2"/>
    <w:rsid w:val="00A56ABF"/>
    <w:rsid w:val="00A56D3A"/>
    <w:rsid w:val="00A57132"/>
    <w:rsid w:val="00A576FD"/>
    <w:rsid w:val="00A5775A"/>
    <w:rsid w:val="00A5799D"/>
    <w:rsid w:val="00A57B1C"/>
    <w:rsid w:val="00A57B6F"/>
    <w:rsid w:val="00A60B78"/>
    <w:rsid w:val="00A60D85"/>
    <w:rsid w:val="00A61C84"/>
    <w:rsid w:val="00A62994"/>
    <w:rsid w:val="00A64725"/>
    <w:rsid w:val="00A64FB3"/>
    <w:rsid w:val="00A65245"/>
    <w:rsid w:val="00A65462"/>
    <w:rsid w:val="00A6754C"/>
    <w:rsid w:val="00A700EF"/>
    <w:rsid w:val="00A701A5"/>
    <w:rsid w:val="00A702A7"/>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B7E"/>
    <w:rsid w:val="00AC2D32"/>
    <w:rsid w:val="00AC2F43"/>
    <w:rsid w:val="00AC32E6"/>
    <w:rsid w:val="00AC32F3"/>
    <w:rsid w:val="00AC337B"/>
    <w:rsid w:val="00AC37CB"/>
    <w:rsid w:val="00AC451C"/>
    <w:rsid w:val="00AC516D"/>
    <w:rsid w:val="00AC5AEE"/>
    <w:rsid w:val="00AC62A8"/>
    <w:rsid w:val="00AC6CE2"/>
    <w:rsid w:val="00AD1DD0"/>
    <w:rsid w:val="00AD1E10"/>
    <w:rsid w:val="00AD2CBB"/>
    <w:rsid w:val="00AD2EF1"/>
    <w:rsid w:val="00AD46ED"/>
    <w:rsid w:val="00AD4BCC"/>
    <w:rsid w:val="00AD4F13"/>
    <w:rsid w:val="00AD55CB"/>
    <w:rsid w:val="00AD55D2"/>
    <w:rsid w:val="00AD5A55"/>
    <w:rsid w:val="00AD5A92"/>
    <w:rsid w:val="00AD5B7E"/>
    <w:rsid w:val="00AD5CBB"/>
    <w:rsid w:val="00AD7144"/>
    <w:rsid w:val="00AD7568"/>
    <w:rsid w:val="00AE02A2"/>
    <w:rsid w:val="00AE0B11"/>
    <w:rsid w:val="00AE152F"/>
    <w:rsid w:val="00AE1959"/>
    <w:rsid w:val="00AE1BD7"/>
    <w:rsid w:val="00AE2266"/>
    <w:rsid w:val="00AE2767"/>
    <w:rsid w:val="00AE3036"/>
    <w:rsid w:val="00AE3042"/>
    <w:rsid w:val="00AE340B"/>
    <w:rsid w:val="00AE3BDB"/>
    <w:rsid w:val="00AE3EC3"/>
    <w:rsid w:val="00AE41A0"/>
    <w:rsid w:val="00AE4F91"/>
    <w:rsid w:val="00AE54C6"/>
    <w:rsid w:val="00AE5586"/>
    <w:rsid w:val="00AE5B4A"/>
    <w:rsid w:val="00AE5F52"/>
    <w:rsid w:val="00AE61EF"/>
    <w:rsid w:val="00AE6245"/>
    <w:rsid w:val="00AE6A72"/>
    <w:rsid w:val="00AE7D92"/>
    <w:rsid w:val="00AF0139"/>
    <w:rsid w:val="00AF0411"/>
    <w:rsid w:val="00AF08E9"/>
    <w:rsid w:val="00AF0F8E"/>
    <w:rsid w:val="00AF1020"/>
    <w:rsid w:val="00AF12C3"/>
    <w:rsid w:val="00AF16A2"/>
    <w:rsid w:val="00AF1AC2"/>
    <w:rsid w:val="00AF20A2"/>
    <w:rsid w:val="00AF2C65"/>
    <w:rsid w:val="00AF30DA"/>
    <w:rsid w:val="00AF3E34"/>
    <w:rsid w:val="00AF3F59"/>
    <w:rsid w:val="00AF47DF"/>
    <w:rsid w:val="00AF5D96"/>
    <w:rsid w:val="00AF6AB2"/>
    <w:rsid w:val="00AF6DD7"/>
    <w:rsid w:val="00AF7B6E"/>
    <w:rsid w:val="00B00C4C"/>
    <w:rsid w:val="00B00E7E"/>
    <w:rsid w:val="00B00F13"/>
    <w:rsid w:val="00B018B9"/>
    <w:rsid w:val="00B01FE0"/>
    <w:rsid w:val="00B02719"/>
    <w:rsid w:val="00B03E87"/>
    <w:rsid w:val="00B03FFD"/>
    <w:rsid w:val="00B0473F"/>
    <w:rsid w:val="00B04959"/>
    <w:rsid w:val="00B05121"/>
    <w:rsid w:val="00B063E2"/>
    <w:rsid w:val="00B06841"/>
    <w:rsid w:val="00B06EDB"/>
    <w:rsid w:val="00B07331"/>
    <w:rsid w:val="00B07EF4"/>
    <w:rsid w:val="00B10419"/>
    <w:rsid w:val="00B11517"/>
    <w:rsid w:val="00B12111"/>
    <w:rsid w:val="00B128AE"/>
    <w:rsid w:val="00B12B0E"/>
    <w:rsid w:val="00B12B5D"/>
    <w:rsid w:val="00B132E7"/>
    <w:rsid w:val="00B1353C"/>
    <w:rsid w:val="00B137B8"/>
    <w:rsid w:val="00B13FB6"/>
    <w:rsid w:val="00B140FC"/>
    <w:rsid w:val="00B14D76"/>
    <w:rsid w:val="00B153B3"/>
    <w:rsid w:val="00B157BD"/>
    <w:rsid w:val="00B16FB1"/>
    <w:rsid w:val="00B17440"/>
    <w:rsid w:val="00B17820"/>
    <w:rsid w:val="00B17F0A"/>
    <w:rsid w:val="00B243A0"/>
    <w:rsid w:val="00B24DAE"/>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469"/>
    <w:rsid w:val="00B34C35"/>
    <w:rsid w:val="00B34E04"/>
    <w:rsid w:val="00B34EC0"/>
    <w:rsid w:val="00B35AE0"/>
    <w:rsid w:val="00B36516"/>
    <w:rsid w:val="00B40E79"/>
    <w:rsid w:val="00B4181F"/>
    <w:rsid w:val="00B41A4F"/>
    <w:rsid w:val="00B41C7F"/>
    <w:rsid w:val="00B41F6B"/>
    <w:rsid w:val="00B4215E"/>
    <w:rsid w:val="00B4242D"/>
    <w:rsid w:val="00B428BA"/>
    <w:rsid w:val="00B42E1B"/>
    <w:rsid w:val="00B42E4C"/>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40D8"/>
    <w:rsid w:val="00B7494F"/>
    <w:rsid w:val="00B74CE2"/>
    <w:rsid w:val="00B74EC4"/>
    <w:rsid w:val="00B74FCA"/>
    <w:rsid w:val="00B75A29"/>
    <w:rsid w:val="00B75A9C"/>
    <w:rsid w:val="00B7657B"/>
    <w:rsid w:val="00B77E16"/>
    <w:rsid w:val="00B802E1"/>
    <w:rsid w:val="00B806DD"/>
    <w:rsid w:val="00B80C2A"/>
    <w:rsid w:val="00B80EAA"/>
    <w:rsid w:val="00B81071"/>
    <w:rsid w:val="00B813D5"/>
    <w:rsid w:val="00B8174F"/>
    <w:rsid w:val="00B81B08"/>
    <w:rsid w:val="00B82920"/>
    <w:rsid w:val="00B8321C"/>
    <w:rsid w:val="00B8370F"/>
    <w:rsid w:val="00B83727"/>
    <w:rsid w:val="00B842A4"/>
    <w:rsid w:val="00B85577"/>
    <w:rsid w:val="00B85EBA"/>
    <w:rsid w:val="00B85EE3"/>
    <w:rsid w:val="00B869A2"/>
    <w:rsid w:val="00B86D74"/>
    <w:rsid w:val="00B86D95"/>
    <w:rsid w:val="00B86DE1"/>
    <w:rsid w:val="00B87C59"/>
    <w:rsid w:val="00B87F5E"/>
    <w:rsid w:val="00B90481"/>
    <w:rsid w:val="00B90BF4"/>
    <w:rsid w:val="00B90D08"/>
    <w:rsid w:val="00B91091"/>
    <w:rsid w:val="00B91F2F"/>
    <w:rsid w:val="00B91F34"/>
    <w:rsid w:val="00B922F0"/>
    <w:rsid w:val="00B92843"/>
    <w:rsid w:val="00B92911"/>
    <w:rsid w:val="00B92CB4"/>
    <w:rsid w:val="00B935C1"/>
    <w:rsid w:val="00B94292"/>
    <w:rsid w:val="00B9485B"/>
    <w:rsid w:val="00B9495B"/>
    <w:rsid w:val="00B950D8"/>
    <w:rsid w:val="00B951CE"/>
    <w:rsid w:val="00B951EB"/>
    <w:rsid w:val="00B95D69"/>
    <w:rsid w:val="00B97239"/>
    <w:rsid w:val="00BA0010"/>
    <w:rsid w:val="00BA058F"/>
    <w:rsid w:val="00BA061F"/>
    <w:rsid w:val="00BA0BFE"/>
    <w:rsid w:val="00BA0E9E"/>
    <w:rsid w:val="00BA184B"/>
    <w:rsid w:val="00BA1894"/>
    <w:rsid w:val="00BA19EE"/>
    <w:rsid w:val="00BA213A"/>
    <w:rsid w:val="00BA21DB"/>
    <w:rsid w:val="00BA2557"/>
    <w:rsid w:val="00BA25F4"/>
    <w:rsid w:val="00BA26D5"/>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DA8"/>
    <w:rsid w:val="00BB36DE"/>
    <w:rsid w:val="00BB383A"/>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4719"/>
    <w:rsid w:val="00BD4CEC"/>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240"/>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927"/>
    <w:rsid w:val="00C00CFE"/>
    <w:rsid w:val="00C02CEF"/>
    <w:rsid w:val="00C02E02"/>
    <w:rsid w:val="00C03625"/>
    <w:rsid w:val="00C0383E"/>
    <w:rsid w:val="00C045B2"/>
    <w:rsid w:val="00C049FB"/>
    <w:rsid w:val="00C04A14"/>
    <w:rsid w:val="00C07B82"/>
    <w:rsid w:val="00C10293"/>
    <w:rsid w:val="00C10469"/>
    <w:rsid w:val="00C11059"/>
    <w:rsid w:val="00C1172E"/>
    <w:rsid w:val="00C12AB9"/>
    <w:rsid w:val="00C13A5D"/>
    <w:rsid w:val="00C13A66"/>
    <w:rsid w:val="00C13AFF"/>
    <w:rsid w:val="00C14970"/>
    <w:rsid w:val="00C15A30"/>
    <w:rsid w:val="00C15EAF"/>
    <w:rsid w:val="00C15F87"/>
    <w:rsid w:val="00C16995"/>
    <w:rsid w:val="00C174AA"/>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52A"/>
    <w:rsid w:val="00C265DE"/>
    <w:rsid w:val="00C268DD"/>
    <w:rsid w:val="00C269F1"/>
    <w:rsid w:val="00C26E1B"/>
    <w:rsid w:val="00C26E40"/>
    <w:rsid w:val="00C26FE5"/>
    <w:rsid w:val="00C27708"/>
    <w:rsid w:val="00C27C15"/>
    <w:rsid w:val="00C27E98"/>
    <w:rsid w:val="00C27FC5"/>
    <w:rsid w:val="00C30159"/>
    <w:rsid w:val="00C30958"/>
    <w:rsid w:val="00C30D3B"/>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BC"/>
    <w:rsid w:val="00C46A82"/>
    <w:rsid w:val="00C46FF1"/>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39E"/>
    <w:rsid w:val="00C63099"/>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1BE9"/>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C0B"/>
    <w:rsid w:val="00C85275"/>
    <w:rsid w:val="00C85367"/>
    <w:rsid w:val="00C853CC"/>
    <w:rsid w:val="00C85A8F"/>
    <w:rsid w:val="00C86339"/>
    <w:rsid w:val="00C87919"/>
    <w:rsid w:val="00C87C75"/>
    <w:rsid w:val="00C90441"/>
    <w:rsid w:val="00C90548"/>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6ACC"/>
    <w:rsid w:val="00CA73D7"/>
    <w:rsid w:val="00CA7733"/>
    <w:rsid w:val="00CA7ACB"/>
    <w:rsid w:val="00CB0E1E"/>
    <w:rsid w:val="00CB10D7"/>
    <w:rsid w:val="00CB20B0"/>
    <w:rsid w:val="00CB2555"/>
    <w:rsid w:val="00CB2C68"/>
    <w:rsid w:val="00CB3727"/>
    <w:rsid w:val="00CB3BD4"/>
    <w:rsid w:val="00CB49DD"/>
    <w:rsid w:val="00CB5AF4"/>
    <w:rsid w:val="00CB5C32"/>
    <w:rsid w:val="00CB5CD3"/>
    <w:rsid w:val="00CB5E57"/>
    <w:rsid w:val="00CB6568"/>
    <w:rsid w:val="00CB68D9"/>
    <w:rsid w:val="00CB6D19"/>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475"/>
    <w:rsid w:val="00CF55FA"/>
    <w:rsid w:val="00CF5DEB"/>
    <w:rsid w:val="00CF68DE"/>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1146"/>
    <w:rsid w:val="00D126A3"/>
    <w:rsid w:val="00D12939"/>
    <w:rsid w:val="00D1391B"/>
    <w:rsid w:val="00D139E9"/>
    <w:rsid w:val="00D14AB1"/>
    <w:rsid w:val="00D1563D"/>
    <w:rsid w:val="00D15B52"/>
    <w:rsid w:val="00D1624F"/>
    <w:rsid w:val="00D162C6"/>
    <w:rsid w:val="00D16975"/>
    <w:rsid w:val="00D16E7A"/>
    <w:rsid w:val="00D17415"/>
    <w:rsid w:val="00D175C4"/>
    <w:rsid w:val="00D203E1"/>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5046"/>
    <w:rsid w:val="00D557BC"/>
    <w:rsid w:val="00D55C02"/>
    <w:rsid w:val="00D563B4"/>
    <w:rsid w:val="00D56BB9"/>
    <w:rsid w:val="00D5785E"/>
    <w:rsid w:val="00D57ED4"/>
    <w:rsid w:val="00D6037C"/>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707B3"/>
    <w:rsid w:val="00D718F5"/>
    <w:rsid w:val="00D71F7F"/>
    <w:rsid w:val="00D722CE"/>
    <w:rsid w:val="00D72919"/>
    <w:rsid w:val="00D729A6"/>
    <w:rsid w:val="00D73279"/>
    <w:rsid w:val="00D744AC"/>
    <w:rsid w:val="00D74F90"/>
    <w:rsid w:val="00D75179"/>
    <w:rsid w:val="00D757EC"/>
    <w:rsid w:val="00D758FA"/>
    <w:rsid w:val="00D76765"/>
    <w:rsid w:val="00D7724D"/>
    <w:rsid w:val="00D77446"/>
    <w:rsid w:val="00D7796E"/>
    <w:rsid w:val="00D77BFB"/>
    <w:rsid w:val="00D77EAE"/>
    <w:rsid w:val="00D80DD9"/>
    <w:rsid w:val="00D8144D"/>
    <w:rsid w:val="00D82264"/>
    <w:rsid w:val="00D8240D"/>
    <w:rsid w:val="00D828A0"/>
    <w:rsid w:val="00D82F01"/>
    <w:rsid w:val="00D82FAF"/>
    <w:rsid w:val="00D83353"/>
    <w:rsid w:val="00D8437D"/>
    <w:rsid w:val="00D84781"/>
    <w:rsid w:val="00D84790"/>
    <w:rsid w:val="00D8485D"/>
    <w:rsid w:val="00D8565C"/>
    <w:rsid w:val="00D87040"/>
    <w:rsid w:val="00D8764F"/>
    <w:rsid w:val="00D91289"/>
    <w:rsid w:val="00D9230D"/>
    <w:rsid w:val="00D9300D"/>
    <w:rsid w:val="00D930B4"/>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AD4"/>
    <w:rsid w:val="00DA5F07"/>
    <w:rsid w:val="00DA672A"/>
    <w:rsid w:val="00DA708A"/>
    <w:rsid w:val="00DA7117"/>
    <w:rsid w:val="00DB1167"/>
    <w:rsid w:val="00DB1360"/>
    <w:rsid w:val="00DB21EC"/>
    <w:rsid w:val="00DB26FB"/>
    <w:rsid w:val="00DB2CEA"/>
    <w:rsid w:val="00DB2DC0"/>
    <w:rsid w:val="00DB3A64"/>
    <w:rsid w:val="00DB436B"/>
    <w:rsid w:val="00DB51B3"/>
    <w:rsid w:val="00DB5E0F"/>
    <w:rsid w:val="00DB6A15"/>
    <w:rsid w:val="00DB70BE"/>
    <w:rsid w:val="00DB7EB6"/>
    <w:rsid w:val="00DC0FBB"/>
    <w:rsid w:val="00DC12BC"/>
    <w:rsid w:val="00DC12E1"/>
    <w:rsid w:val="00DC15CF"/>
    <w:rsid w:val="00DC15ED"/>
    <w:rsid w:val="00DC2299"/>
    <w:rsid w:val="00DC23FC"/>
    <w:rsid w:val="00DC25D6"/>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2D9"/>
    <w:rsid w:val="00DD6C04"/>
    <w:rsid w:val="00DD6DE7"/>
    <w:rsid w:val="00DD6E0E"/>
    <w:rsid w:val="00DD73D5"/>
    <w:rsid w:val="00DD78C8"/>
    <w:rsid w:val="00DE0043"/>
    <w:rsid w:val="00DE0343"/>
    <w:rsid w:val="00DE0545"/>
    <w:rsid w:val="00DE0652"/>
    <w:rsid w:val="00DE0A4B"/>
    <w:rsid w:val="00DE0ED8"/>
    <w:rsid w:val="00DE15D2"/>
    <w:rsid w:val="00DE17EB"/>
    <w:rsid w:val="00DE1E6A"/>
    <w:rsid w:val="00DE279D"/>
    <w:rsid w:val="00DE2DDF"/>
    <w:rsid w:val="00DE3995"/>
    <w:rsid w:val="00DE4D9C"/>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E3E"/>
    <w:rsid w:val="00E05F83"/>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2C11"/>
    <w:rsid w:val="00E23CF9"/>
    <w:rsid w:val="00E23DC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37C1C"/>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4AA"/>
    <w:rsid w:val="00E618D5"/>
    <w:rsid w:val="00E61A10"/>
    <w:rsid w:val="00E62318"/>
    <w:rsid w:val="00E6298B"/>
    <w:rsid w:val="00E62D7E"/>
    <w:rsid w:val="00E6329F"/>
    <w:rsid w:val="00E635AF"/>
    <w:rsid w:val="00E64086"/>
    <w:rsid w:val="00E640D2"/>
    <w:rsid w:val="00E6449F"/>
    <w:rsid w:val="00E64C44"/>
    <w:rsid w:val="00E667AD"/>
    <w:rsid w:val="00E66A25"/>
    <w:rsid w:val="00E66BE3"/>
    <w:rsid w:val="00E6700B"/>
    <w:rsid w:val="00E679F1"/>
    <w:rsid w:val="00E67F80"/>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F"/>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DC0"/>
    <w:rsid w:val="00E926BB"/>
    <w:rsid w:val="00E9315C"/>
    <w:rsid w:val="00E93B9A"/>
    <w:rsid w:val="00E93DFD"/>
    <w:rsid w:val="00E94BC6"/>
    <w:rsid w:val="00E953D1"/>
    <w:rsid w:val="00E9541D"/>
    <w:rsid w:val="00E97680"/>
    <w:rsid w:val="00E97CA3"/>
    <w:rsid w:val="00EA05C9"/>
    <w:rsid w:val="00EA0787"/>
    <w:rsid w:val="00EA0841"/>
    <w:rsid w:val="00EA10DD"/>
    <w:rsid w:val="00EA11B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34A"/>
    <w:rsid w:val="00EB7E3F"/>
    <w:rsid w:val="00EC0339"/>
    <w:rsid w:val="00EC03A5"/>
    <w:rsid w:val="00EC05B7"/>
    <w:rsid w:val="00EC06E2"/>
    <w:rsid w:val="00EC0703"/>
    <w:rsid w:val="00EC1864"/>
    <w:rsid w:val="00EC2B72"/>
    <w:rsid w:val="00EC401B"/>
    <w:rsid w:val="00EC49A0"/>
    <w:rsid w:val="00EC4CC2"/>
    <w:rsid w:val="00EC4E64"/>
    <w:rsid w:val="00EC5819"/>
    <w:rsid w:val="00EC5B15"/>
    <w:rsid w:val="00EC5F03"/>
    <w:rsid w:val="00ED14DB"/>
    <w:rsid w:val="00ED17DB"/>
    <w:rsid w:val="00ED24DE"/>
    <w:rsid w:val="00ED316F"/>
    <w:rsid w:val="00ED402E"/>
    <w:rsid w:val="00ED4606"/>
    <w:rsid w:val="00ED47EC"/>
    <w:rsid w:val="00ED48D3"/>
    <w:rsid w:val="00ED52C8"/>
    <w:rsid w:val="00ED6992"/>
    <w:rsid w:val="00ED69DE"/>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175"/>
    <w:rsid w:val="00EF28EE"/>
    <w:rsid w:val="00EF2F72"/>
    <w:rsid w:val="00EF2FDC"/>
    <w:rsid w:val="00EF4A8B"/>
    <w:rsid w:val="00EF64BE"/>
    <w:rsid w:val="00EF6C6E"/>
    <w:rsid w:val="00EF6CF6"/>
    <w:rsid w:val="00EF6DC3"/>
    <w:rsid w:val="00F00978"/>
    <w:rsid w:val="00F01E45"/>
    <w:rsid w:val="00F02206"/>
    <w:rsid w:val="00F02A69"/>
    <w:rsid w:val="00F02B02"/>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2077"/>
    <w:rsid w:val="00F122C0"/>
    <w:rsid w:val="00F123D5"/>
    <w:rsid w:val="00F12951"/>
    <w:rsid w:val="00F134C8"/>
    <w:rsid w:val="00F134D7"/>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9BE"/>
    <w:rsid w:val="00F51F39"/>
    <w:rsid w:val="00F52330"/>
    <w:rsid w:val="00F529F2"/>
    <w:rsid w:val="00F52DDA"/>
    <w:rsid w:val="00F54086"/>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A6A"/>
    <w:rsid w:val="00F7703E"/>
    <w:rsid w:val="00F772F5"/>
    <w:rsid w:val="00F77D1F"/>
    <w:rsid w:val="00F77DC0"/>
    <w:rsid w:val="00F809CD"/>
    <w:rsid w:val="00F8233A"/>
    <w:rsid w:val="00F825E1"/>
    <w:rsid w:val="00F8276A"/>
    <w:rsid w:val="00F82848"/>
    <w:rsid w:val="00F8294C"/>
    <w:rsid w:val="00F83402"/>
    <w:rsid w:val="00F83B09"/>
    <w:rsid w:val="00F86251"/>
    <w:rsid w:val="00F86BDB"/>
    <w:rsid w:val="00F9180B"/>
    <w:rsid w:val="00F91968"/>
    <w:rsid w:val="00F92CFC"/>
    <w:rsid w:val="00F930A7"/>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396D"/>
    <w:rsid w:val="00FB3D6E"/>
    <w:rsid w:val="00FB3FE9"/>
    <w:rsid w:val="00FB4235"/>
    <w:rsid w:val="00FB4258"/>
    <w:rsid w:val="00FB4A67"/>
    <w:rsid w:val="00FB518D"/>
    <w:rsid w:val="00FB53E2"/>
    <w:rsid w:val="00FB5D63"/>
    <w:rsid w:val="00FB606D"/>
    <w:rsid w:val="00FB6128"/>
    <w:rsid w:val="00FC083B"/>
    <w:rsid w:val="00FC0FA2"/>
    <w:rsid w:val="00FC11B7"/>
    <w:rsid w:val="00FC1222"/>
    <w:rsid w:val="00FC2693"/>
    <w:rsid w:val="00FC2717"/>
    <w:rsid w:val="00FC2984"/>
    <w:rsid w:val="00FC29A4"/>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5DD"/>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00B"/>
    <w:rsid w:val="00FF2418"/>
    <w:rsid w:val="00FF2742"/>
    <w:rsid w:val="00FF2D69"/>
    <w:rsid w:val="00FF32D9"/>
    <w:rsid w:val="00FF4047"/>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31E3E"/>
  <w15:docId w15:val="{2B071B10-2110-4125-8FED-D8F95FD3A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80409E"/>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salute.gov.it/portale/news/p3_2_4_1_1.jsp?lingua=italiano&amp;menu=salastampa&amp;p=comunicatistampa&amp;id=5875"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fficio.stampa@gimbe.org"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news-events/press-announcements/coronavirus-covid-19-update-fda-authorizes-second-booster-dose-two-covid-19-vaccines-older-and"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coronavirus.gimbe.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aifa.gov.it/documents/20142/1618244/Comunicato_AIFA_N.690.pdf" TargetMode="Externa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github.com/italia/covid19-opendata-vaccini/blob/master/dati/platea-booster-immunocompromessi.csv" TargetMode="External"/><Relationship Id="rId14" Type="http://schemas.openxmlformats.org/officeDocument/2006/relationships/hyperlink" Target="https://www.epicentro.iss.it/coronavirus/bollettino/Bollettino-sorveglianza-integrata-COVID-19_23-marzo-2022.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microsoft.com/office/2018/08/relationships/commentsExtensible" Target="commentsExtensible.xml"/><Relationship Id="rId8" Type="http://schemas.openxmlformats.org/officeDocument/2006/relationships/hyperlink" Target="https://github.com/italia/covid19-opendata-vaccini/blob/master/dati/platea-dose-addizionale-booster.csv"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39885-3F93-4073-82A5-88E2EB43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3248</Words>
  <Characters>18516</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8</cp:revision>
  <cp:lastPrinted>2022-03-16T09:22:00Z</cp:lastPrinted>
  <dcterms:created xsi:type="dcterms:W3CDTF">2022-03-30T14:33:00Z</dcterms:created>
  <dcterms:modified xsi:type="dcterms:W3CDTF">2022-03-31T07:57:00Z</dcterms:modified>
</cp:coreProperties>
</file>