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A89" w:rsidRDefault="000C7A89" w:rsidP="00C27E98">
      <w:pPr>
        <w:shd w:val="clear" w:color="auto" w:fill="FFFFFF"/>
        <w:spacing w:after="0" w:line="276" w:lineRule="auto"/>
        <w:jc w:val="center"/>
        <w:rPr>
          <w:b/>
          <w:bCs/>
          <w:sz w:val="31"/>
          <w:szCs w:val="31"/>
        </w:rPr>
      </w:pPr>
      <w:r>
        <w:rPr>
          <w:b/>
          <w:bCs/>
          <w:sz w:val="31"/>
          <w:szCs w:val="31"/>
        </w:rPr>
        <w:t>COMUNICATO STAMPA</w:t>
      </w:r>
    </w:p>
    <w:p w:rsidR="00992960" w:rsidRPr="00992960" w:rsidRDefault="00CE4B95" w:rsidP="00B655B5">
      <w:pPr>
        <w:spacing w:after="0" w:line="276" w:lineRule="auto"/>
        <w:jc w:val="center"/>
        <w:rPr>
          <w:b/>
          <w:bCs/>
          <w:color w:val="auto"/>
          <w:sz w:val="32"/>
          <w:szCs w:val="31"/>
        </w:rPr>
      </w:pPr>
      <w:r w:rsidRPr="005200F6">
        <w:rPr>
          <w:b/>
          <w:bCs/>
          <w:color w:val="auto"/>
          <w:sz w:val="32"/>
          <w:szCs w:val="31"/>
        </w:rPr>
        <w:t xml:space="preserve">CORONAVIRUS: </w:t>
      </w:r>
      <w:r w:rsidR="00A3302D" w:rsidRPr="00943D7A">
        <w:rPr>
          <w:b/>
          <w:bCs/>
          <w:color w:val="auto"/>
          <w:sz w:val="32"/>
          <w:szCs w:val="31"/>
        </w:rPr>
        <w:t>DOPO 5 SETTIMANE</w:t>
      </w:r>
      <w:r w:rsidR="00F930A7" w:rsidRPr="00943D7A">
        <w:rPr>
          <w:b/>
          <w:bCs/>
          <w:color w:val="auto"/>
          <w:sz w:val="32"/>
          <w:szCs w:val="31"/>
        </w:rPr>
        <w:t>SI INVERTE LA CURVA DEI CONTAGI (+1,5%</w:t>
      </w:r>
      <w:r w:rsidR="00A3302D" w:rsidRPr="00943D7A">
        <w:rPr>
          <w:b/>
          <w:bCs/>
          <w:color w:val="auto"/>
          <w:sz w:val="32"/>
          <w:szCs w:val="31"/>
        </w:rPr>
        <w:t>IN 7 GIORNI</w:t>
      </w:r>
      <w:r w:rsidR="00F930A7" w:rsidRPr="00943D7A">
        <w:rPr>
          <w:b/>
          <w:bCs/>
          <w:color w:val="auto"/>
          <w:sz w:val="32"/>
          <w:szCs w:val="31"/>
        </w:rPr>
        <w:t>)</w:t>
      </w:r>
      <w:r w:rsidR="00F930A7">
        <w:rPr>
          <w:b/>
          <w:bCs/>
          <w:color w:val="auto"/>
          <w:sz w:val="32"/>
          <w:szCs w:val="31"/>
        </w:rPr>
        <w:t xml:space="preserve">. </w:t>
      </w:r>
      <w:r w:rsidR="00F134D7">
        <w:rPr>
          <w:b/>
          <w:bCs/>
          <w:color w:val="auto"/>
          <w:sz w:val="32"/>
          <w:szCs w:val="31"/>
        </w:rPr>
        <w:t xml:space="preserve">CALANO </w:t>
      </w:r>
      <w:r w:rsidRPr="00F134D7">
        <w:rPr>
          <w:b/>
          <w:bCs/>
          <w:color w:val="auto"/>
          <w:sz w:val="32"/>
          <w:szCs w:val="31"/>
        </w:rPr>
        <w:t>RICOVERI IN AREA MEDICA (-</w:t>
      </w:r>
      <w:r w:rsidR="00F134D7">
        <w:rPr>
          <w:b/>
          <w:bCs/>
          <w:color w:val="auto"/>
          <w:sz w:val="32"/>
          <w:szCs w:val="31"/>
        </w:rPr>
        <w:t xml:space="preserve">16,1%) </w:t>
      </w:r>
      <w:r w:rsidR="009C7A93">
        <w:rPr>
          <w:b/>
          <w:bCs/>
          <w:color w:val="auto"/>
          <w:sz w:val="32"/>
          <w:szCs w:val="31"/>
        </w:rPr>
        <w:br/>
      </w:r>
      <w:r w:rsidR="00F134D7" w:rsidRPr="00F134D7">
        <w:rPr>
          <w:b/>
          <w:bCs/>
          <w:color w:val="auto"/>
          <w:sz w:val="32"/>
          <w:szCs w:val="31"/>
        </w:rPr>
        <w:t>E IN TERAPIA INTENSIVA (-</w:t>
      </w:r>
      <w:r w:rsidRPr="00F134D7">
        <w:rPr>
          <w:b/>
          <w:bCs/>
          <w:color w:val="auto"/>
          <w:sz w:val="32"/>
          <w:szCs w:val="31"/>
        </w:rPr>
        <w:t>1</w:t>
      </w:r>
      <w:r w:rsidR="00F134D7" w:rsidRPr="00F134D7">
        <w:rPr>
          <w:b/>
          <w:bCs/>
          <w:color w:val="auto"/>
          <w:sz w:val="32"/>
          <w:szCs w:val="31"/>
        </w:rPr>
        <w:t>6,4%) E DECESSI (-19,3</w:t>
      </w:r>
      <w:r w:rsidRPr="00F134D7">
        <w:rPr>
          <w:b/>
          <w:bCs/>
          <w:color w:val="auto"/>
          <w:sz w:val="32"/>
          <w:szCs w:val="31"/>
        </w:rPr>
        <w:t>%).</w:t>
      </w:r>
      <w:r w:rsidR="00F134D7">
        <w:rPr>
          <w:b/>
          <w:bCs/>
          <w:color w:val="auto"/>
          <w:sz w:val="32"/>
          <w:szCs w:val="31"/>
        </w:rPr>
        <w:br/>
      </w:r>
      <w:r w:rsidR="009326A6" w:rsidRPr="005200F6">
        <w:rPr>
          <w:b/>
          <w:bCs/>
          <w:color w:val="auto"/>
          <w:sz w:val="32"/>
          <w:szCs w:val="31"/>
        </w:rPr>
        <w:t xml:space="preserve">NON DECOLLA NOVAVAX: </w:t>
      </w:r>
      <w:r w:rsidR="009326A6">
        <w:rPr>
          <w:b/>
          <w:bCs/>
          <w:color w:val="auto"/>
          <w:sz w:val="32"/>
          <w:szCs w:val="31"/>
        </w:rPr>
        <w:t>11.595</w:t>
      </w:r>
      <w:r w:rsidR="009326A6" w:rsidRPr="005200F6">
        <w:rPr>
          <w:b/>
          <w:bCs/>
          <w:color w:val="auto"/>
          <w:sz w:val="32"/>
          <w:szCs w:val="31"/>
        </w:rPr>
        <w:t xml:space="preserve"> VACCINATI IN </w:t>
      </w:r>
      <w:r w:rsidR="009326A6">
        <w:rPr>
          <w:b/>
          <w:bCs/>
          <w:color w:val="auto"/>
          <w:sz w:val="32"/>
          <w:szCs w:val="31"/>
        </w:rPr>
        <w:t>10</w:t>
      </w:r>
      <w:r w:rsidR="009326A6" w:rsidRPr="005200F6">
        <w:rPr>
          <w:b/>
          <w:bCs/>
          <w:color w:val="auto"/>
          <w:sz w:val="32"/>
          <w:szCs w:val="31"/>
        </w:rPr>
        <w:t xml:space="preserve"> GIORNI</w:t>
      </w:r>
      <w:r w:rsidR="009326A6" w:rsidRPr="005200F6">
        <w:rPr>
          <w:b/>
          <w:bCs/>
          <w:color w:val="auto"/>
          <w:sz w:val="32"/>
          <w:szCs w:val="31"/>
        </w:rPr>
        <w:br/>
      </w:r>
      <w:r w:rsidR="00992960" w:rsidRPr="00992960">
        <w:rPr>
          <w:b/>
          <w:bCs/>
          <w:color w:val="auto"/>
          <w:sz w:val="32"/>
          <w:szCs w:val="31"/>
        </w:rPr>
        <w:t xml:space="preserve">CIRCOLAZIONE VIRALE MOLTO ELEVATA: </w:t>
      </w:r>
      <w:r w:rsidR="00B41C7F">
        <w:rPr>
          <w:b/>
          <w:bCs/>
          <w:color w:val="auto"/>
          <w:sz w:val="32"/>
          <w:szCs w:val="31"/>
        </w:rPr>
        <w:br/>
      </w:r>
      <w:r w:rsidR="00992960" w:rsidRPr="00992960">
        <w:rPr>
          <w:b/>
          <w:bCs/>
          <w:color w:val="auto"/>
          <w:sz w:val="32"/>
          <w:szCs w:val="31"/>
        </w:rPr>
        <w:t>UNA FOLLIA ABBANDONARE LE MASCHERINE AL CHIUSO</w:t>
      </w:r>
    </w:p>
    <w:p w:rsidR="00B655B5" w:rsidRPr="004C774D" w:rsidRDefault="00B655B5" w:rsidP="00B655B5">
      <w:pPr>
        <w:spacing w:after="0" w:line="276" w:lineRule="auto"/>
        <w:jc w:val="center"/>
        <w:rPr>
          <w:b/>
          <w:bCs/>
          <w:color w:val="auto"/>
          <w:sz w:val="12"/>
        </w:rPr>
      </w:pPr>
    </w:p>
    <w:p w:rsidR="00C64286" w:rsidRPr="00C64286" w:rsidRDefault="00CD4775" w:rsidP="00CD4775">
      <w:pPr>
        <w:spacing w:after="200" w:line="276" w:lineRule="auto"/>
        <w:jc w:val="both"/>
        <w:rPr>
          <w:b/>
          <w:bCs/>
          <w:color w:val="auto"/>
          <w:sz w:val="24"/>
          <w:szCs w:val="24"/>
        </w:rPr>
      </w:pPr>
      <w:r w:rsidRPr="00401119">
        <w:rPr>
          <w:b/>
          <w:bCs/>
          <w:color w:val="auto"/>
          <w:sz w:val="24"/>
          <w:szCs w:val="24"/>
        </w:rPr>
        <w:t>IL MONITORAGGIO DELLA FONDAZIONE GIMBE RILEVA, NELLA SETTIMANA 2-8 MARZO, UN AUMENTO DEI NUOVI CASI (</w:t>
      </w:r>
      <w:r w:rsidR="00F930A7">
        <w:rPr>
          <w:b/>
          <w:bCs/>
          <w:color w:val="auto"/>
          <w:sz w:val="24"/>
          <w:szCs w:val="24"/>
        </w:rPr>
        <w:t>+</w:t>
      </w:r>
      <w:r w:rsidRPr="00401119">
        <w:rPr>
          <w:b/>
          <w:bCs/>
          <w:color w:val="auto"/>
          <w:sz w:val="24"/>
          <w:szCs w:val="24"/>
        </w:rPr>
        <w:t>4</w:t>
      </w:r>
      <w:r w:rsidR="00F930A7">
        <w:rPr>
          <w:b/>
          <w:bCs/>
          <w:color w:val="auto"/>
          <w:sz w:val="24"/>
          <w:szCs w:val="24"/>
        </w:rPr>
        <w:t>.</w:t>
      </w:r>
      <w:r w:rsidRPr="00401119">
        <w:rPr>
          <w:b/>
          <w:bCs/>
          <w:color w:val="auto"/>
          <w:sz w:val="24"/>
          <w:szCs w:val="24"/>
        </w:rPr>
        <w:t>179</w:t>
      </w:r>
      <w:r w:rsidR="00B41C7F" w:rsidRPr="00401119">
        <w:rPr>
          <w:b/>
          <w:bCs/>
          <w:color w:val="auto"/>
          <w:sz w:val="24"/>
          <w:szCs w:val="24"/>
        </w:rPr>
        <w:t>)</w:t>
      </w:r>
      <w:r w:rsidR="00B41C7F" w:rsidRPr="00B41C7F">
        <w:rPr>
          <w:b/>
          <w:bCs/>
          <w:color w:val="auto"/>
          <w:sz w:val="24"/>
          <w:szCs w:val="24"/>
        </w:rPr>
        <w:t xml:space="preserve">NONOSTANTE UN CALO DEI TAMPONI </w:t>
      </w:r>
      <w:r w:rsidR="00B41C7F">
        <w:rPr>
          <w:b/>
          <w:bCs/>
          <w:color w:val="auto"/>
          <w:sz w:val="24"/>
          <w:szCs w:val="24"/>
        </w:rPr>
        <w:t>(-</w:t>
      </w:r>
      <w:r w:rsidR="00B41C7F" w:rsidRPr="00B41C7F">
        <w:rPr>
          <w:b/>
          <w:bCs/>
          <w:color w:val="auto"/>
          <w:sz w:val="24"/>
          <w:szCs w:val="24"/>
        </w:rPr>
        <w:t>8,8%</w:t>
      </w:r>
      <w:r w:rsidR="00B41C7F">
        <w:rPr>
          <w:b/>
          <w:bCs/>
          <w:color w:val="auto"/>
          <w:sz w:val="24"/>
          <w:szCs w:val="24"/>
        </w:rPr>
        <w:t>)</w:t>
      </w:r>
      <w:r w:rsidR="00B41C7F" w:rsidRPr="00401119">
        <w:rPr>
          <w:b/>
          <w:bCs/>
          <w:color w:val="auto"/>
          <w:sz w:val="24"/>
          <w:szCs w:val="24"/>
        </w:rPr>
        <w:t xml:space="preserve">. </w:t>
      </w:r>
      <w:r w:rsidR="004C774D" w:rsidRPr="004C774D">
        <w:rPr>
          <w:b/>
          <w:bCs/>
          <w:color w:val="auto"/>
          <w:sz w:val="24"/>
          <w:szCs w:val="24"/>
        </w:rPr>
        <w:t>I</w:t>
      </w:r>
      <w:r w:rsidR="004C774D">
        <w:rPr>
          <w:b/>
          <w:bCs/>
          <w:color w:val="auto"/>
          <w:sz w:val="24"/>
          <w:szCs w:val="24"/>
        </w:rPr>
        <w:t xml:space="preserve">N 49 </w:t>
      </w:r>
      <w:r w:rsidR="004C774D" w:rsidRPr="004C774D">
        <w:rPr>
          <w:b/>
          <w:bCs/>
          <w:color w:val="auto"/>
          <w:sz w:val="24"/>
          <w:szCs w:val="24"/>
        </w:rPr>
        <w:t xml:space="preserve">PROVINCE SI REGISTRA UN INCREMENTO PERCENTUALE DEI NUOVI CASI RISPETTO ALLA SETTIMANA PRECEDENTE </w:t>
      </w:r>
      <w:r w:rsidR="004C774D">
        <w:rPr>
          <w:b/>
          <w:bCs/>
          <w:color w:val="auto"/>
          <w:sz w:val="24"/>
          <w:szCs w:val="24"/>
        </w:rPr>
        <w:t xml:space="preserve">E </w:t>
      </w:r>
      <w:r>
        <w:rPr>
          <w:b/>
          <w:bCs/>
          <w:color w:val="auto"/>
          <w:sz w:val="24"/>
          <w:szCs w:val="24"/>
        </w:rPr>
        <w:t xml:space="preserve">SALGONO A 48 </w:t>
      </w:r>
      <w:r w:rsidR="004C774D">
        <w:rPr>
          <w:b/>
          <w:bCs/>
          <w:color w:val="auto"/>
          <w:sz w:val="24"/>
          <w:szCs w:val="24"/>
        </w:rPr>
        <w:t xml:space="preserve">QUELLE </w:t>
      </w:r>
      <w:r>
        <w:rPr>
          <w:b/>
          <w:bCs/>
          <w:color w:val="auto"/>
          <w:sz w:val="24"/>
          <w:szCs w:val="24"/>
        </w:rPr>
        <w:t>CON</w:t>
      </w:r>
      <w:r w:rsidRPr="00401119">
        <w:rPr>
          <w:b/>
          <w:bCs/>
          <w:color w:val="auto"/>
          <w:sz w:val="24"/>
          <w:szCs w:val="24"/>
        </w:rPr>
        <w:t xml:space="preserve"> INCIDENZA SUPERIORE A 500 CASI PER 100.000 ABITANTI. </w:t>
      </w:r>
      <w:r w:rsidR="00F930A7">
        <w:rPr>
          <w:b/>
          <w:bCs/>
          <w:color w:val="auto"/>
          <w:sz w:val="24"/>
          <w:szCs w:val="24"/>
        </w:rPr>
        <w:t>CALANO</w:t>
      </w:r>
      <w:r w:rsidRPr="00401119">
        <w:rPr>
          <w:b/>
          <w:bCs/>
          <w:color w:val="auto"/>
          <w:sz w:val="24"/>
          <w:szCs w:val="24"/>
        </w:rPr>
        <w:t xml:space="preserve"> I RICOVERI IN TERAPIA INTENSIVA (-116), IN AREA MEDICA (-1.680) E I DECESSI (-19,3%). STABILE LA PERCENTUALE DI POPOLAZIONE CHE HA RICEVUTO ALMENO UNA DOSE DI VACCINO (85,5%) E </w:t>
      </w:r>
      <w:r w:rsidR="00F930A7">
        <w:rPr>
          <w:b/>
          <w:bCs/>
          <w:color w:val="auto"/>
          <w:sz w:val="24"/>
          <w:szCs w:val="24"/>
        </w:rPr>
        <w:t xml:space="preserve">CRESCONO LE PERSONE CHE HANNO </w:t>
      </w:r>
      <w:r w:rsidRPr="00401119">
        <w:rPr>
          <w:b/>
          <w:bCs/>
          <w:color w:val="auto"/>
          <w:sz w:val="24"/>
          <w:szCs w:val="24"/>
        </w:rPr>
        <w:t>COMPLETATO IL CICLO VACCINALE</w:t>
      </w:r>
      <w:r w:rsidR="00F930A7">
        <w:rPr>
          <w:b/>
          <w:bCs/>
          <w:color w:val="auto"/>
          <w:sz w:val="24"/>
          <w:szCs w:val="24"/>
        </w:rPr>
        <w:t xml:space="preserve"> (</w:t>
      </w:r>
      <w:r w:rsidR="00F930A7" w:rsidRPr="00401119">
        <w:rPr>
          <w:b/>
          <w:bCs/>
          <w:color w:val="auto"/>
          <w:sz w:val="24"/>
          <w:szCs w:val="24"/>
        </w:rPr>
        <w:t>83,6%</w:t>
      </w:r>
      <w:r w:rsidR="00F930A7">
        <w:rPr>
          <w:b/>
          <w:bCs/>
          <w:color w:val="auto"/>
          <w:sz w:val="24"/>
          <w:szCs w:val="24"/>
        </w:rPr>
        <w:t>)</w:t>
      </w:r>
      <w:r w:rsidRPr="00401119">
        <w:rPr>
          <w:b/>
          <w:bCs/>
          <w:color w:val="auto"/>
          <w:sz w:val="24"/>
          <w:szCs w:val="24"/>
        </w:rPr>
        <w:t>. 4,7 MILIONI DI PERSONE SENZA NEMMENO UNA DOSE VACCINABILI SUBITO E2,34 MILIONI DI GUARITI PROTETTI SOLO TEMPORANEAMENTE. TASSO DI COPERTURA TERZE DOSI ALL’83%</w:t>
      </w:r>
      <w:r>
        <w:rPr>
          <w:b/>
          <w:bCs/>
          <w:color w:val="auto"/>
          <w:sz w:val="24"/>
          <w:szCs w:val="24"/>
        </w:rPr>
        <w:t>,</w:t>
      </w:r>
      <w:r w:rsidRPr="003B02C9">
        <w:rPr>
          <w:b/>
          <w:bCs/>
          <w:color w:val="auto"/>
          <w:sz w:val="24"/>
          <w:szCs w:val="24"/>
        </w:rPr>
        <w:t xml:space="preserve">CON NETTE DIFFERENZE REGIONALI, MENTRE SONO POCO MENO DI 19 MILA LE QUARTE DOSI SOMMINISTRATE </w:t>
      </w:r>
      <w:r w:rsidR="00F930A7">
        <w:rPr>
          <w:b/>
          <w:bCs/>
          <w:color w:val="auto"/>
          <w:sz w:val="24"/>
          <w:szCs w:val="24"/>
        </w:rPr>
        <w:t>AGLI</w:t>
      </w:r>
      <w:r w:rsidRPr="003B02C9">
        <w:rPr>
          <w:b/>
          <w:bCs/>
          <w:color w:val="auto"/>
          <w:sz w:val="24"/>
          <w:szCs w:val="24"/>
        </w:rPr>
        <w:t xml:space="preserve"> IMMUNOCOMPROMESS</w:t>
      </w:r>
      <w:r w:rsidR="00F930A7">
        <w:rPr>
          <w:b/>
          <w:bCs/>
          <w:color w:val="auto"/>
          <w:sz w:val="24"/>
          <w:szCs w:val="24"/>
        </w:rPr>
        <w:t>I</w:t>
      </w:r>
      <w:r w:rsidRPr="003B02C9">
        <w:rPr>
          <w:b/>
          <w:bCs/>
          <w:color w:val="auto"/>
          <w:sz w:val="24"/>
          <w:szCs w:val="24"/>
        </w:rPr>
        <w:t xml:space="preserve">. </w:t>
      </w:r>
      <w:r>
        <w:rPr>
          <w:b/>
          <w:bCs/>
          <w:color w:val="auto"/>
          <w:sz w:val="24"/>
          <w:szCs w:val="24"/>
        </w:rPr>
        <w:t>IL</w:t>
      </w:r>
      <w:r w:rsidRPr="003B02C9">
        <w:rPr>
          <w:b/>
          <w:bCs/>
          <w:color w:val="auto"/>
          <w:sz w:val="24"/>
          <w:szCs w:val="24"/>
        </w:rPr>
        <w:t xml:space="preserve"> 59,2% </w:t>
      </w:r>
      <w:r>
        <w:rPr>
          <w:b/>
          <w:bCs/>
          <w:color w:val="auto"/>
          <w:sz w:val="24"/>
          <w:szCs w:val="24"/>
        </w:rPr>
        <w:t>DELLE SOMMINISTRAZIONI DI NOVAVAX È ANDAT</w:t>
      </w:r>
      <w:r w:rsidR="00F930A7">
        <w:rPr>
          <w:b/>
          <w:bCs/>
          <w:color w:val="auto"/>
          <w:sz w:val="24"/>
          <w:szCs w:val="24"/>
        </w:rPr>
        <w:t>O</w:t>
      </w:r>
      <w:r>
        <w:rPr>
          <w:b/>
          <w:bCs/>
          <w:color w:val="auto"/>
          <w:sz w:val="24"/>
          <w:szCs w:val="24"/>
        </w:rPr>
        <w:t xml:space="preserve"> A</w:t>
      </w:r>
      <w:r w:rsidR="00F930A7">
        <w:rPr>
          <w:b/>
          <w:bCs/>
          <w:color w:val="auto"/>
          <w:sz w:val="24"/>
          <w:szCs w:val="24"/>
        </w:rPr>
        <w:t xml:space="preserve">D </w:t>
      </w:r>
      <w:r w:rsidRPr="003B02C9">
        <w:rPr>
          <w:b/>
          <w:bCs/>
          <w:color w:val="auto"/>
          <w:sz w:val="24"/>
          <w:szCs w:val="24"/>
        </w:rPr>
        <w:t>OVER</w:t>
      </w:r>
      <w:r w:rsidR="00F930A7">
        <w:rPr>
          <w:b/>
          <w:bCs/>
          <w:color w:val="auto"/>
          <w:sz w:val="24"/>
          <w:szCs w:val="24"/>
        </w:rPr>
        <w:t xml:space="preserve"> 50</w:t>
      </w:r>
      <w:r w:rsidR="00B41C7F">
        <w:rPr>
          <w:b/>
          <w:bCs/>
          <w:color w:val="auto"/>
          <w:sz w:val="24"/>
          <w:szCs w:val="24"/>
        </w:rPr>
        <w:t xml:space="preserve">, </w:t>
      </w:r>
      <w:r w:rsidR="00F930A7">
        <w:rPr>
          <w:b/>
          <w:bCs/>
          <w:color w:val="auto"/>
          <w:sz w:val="24"/>
          <w:szCs w:val="24"/>
        </w:rPr>
        <w:t xml:space="preserve">MA </w:t>
      </w:r>
      <w:r w:rsidR="00B41C7F">
        <w:rPr>
          <w:b/>
          <w:bCs/>
          <w:color w:val="auto"/>
          <w:sz w:val="24"/>
          <w:szCs w:val="24"/>
        </w:rPr>
        <w:t>NESSUN BOOM DI NUOVI VACCINATI</w:t>
      </w:r>
      <w:r>
        <w:rPr>
          <w:b/>
          <w:bCs/>
          <w:color w:val="auto"/>
          <w:sz w:val="24"/>
          <w:szCs w:val="24"/>
        </w:rPr>
        <w:t>.</w:t>
      </w:r>
      <w:r w:rsidR="00992960">
        <w:rPr>
          <w:b/>
          <w:bCs/>
          <w:color w:val="auto"/>
          <w:sz w:val="24"/>
          <w:szCs w:val="24"/>
        </w:rPr>
        <w:t xml:space="preserve">ULTERIORE CROLLO DELLE PRIME SOMMINISTARZIONI </w:t>
      </w:r>
      <w:r w:rsidR="00992960" w:rsidRPr="00992960">
        <w:rPr>
          <w:b/>
          <w:bCs/>
          <w:color w:val="auto"/>
          <w:sz w:val="24"/>
          <w:szCs w:val="24"/>
        </w:rPr>
        <w:t>NELLA FASCIA 5-11 (-50,1%).</w:t>
      </w:r>
      <w:r w:rsidR="00C5723E">
        <w:rPr>
          <w:b/>
          <w:bCs/>
          <w:color w:val="auto"/>
          <w:sz w:val="24"/>
          <w:szCs w:val="24"/>
        </w:rPr>
        <w:t xml:space="preserve">SERVIRANNO </w:t>
      </w:r>
      <w:r w:rsidR="00D6037C">
        <w:rPr>
          <w:b/>
          <w:bCs/>
          <w:color w:val="auto"/>
          <w:sz w:val="24"/>
          <w:szCs w:val="24"/>
        </w:rPr>
        <w:t xml:space="preserve">7-10 </w:t>
      </w:r>
      <w:r w:rsidR="008D799E" w:rsidRPr="008D799E">
        <w:rPr>
          <w:b/>
          <w:bCs/>
          <w:color w:val="auto"/>
          <w:sz w:val="24"/>
          <w:szCs w:val="24"/>
        </w:rPr>
        <w:t xml:space="preserve">GIORNI PER CAPIRE SE LA RISALITA DELLA CURVA DEI NUOVI </w:t>
      </w:r>
      <w:r w:rsidR="00D6037C">
        <w:rPr>
          <w:b/>
          <w:bCs/>
          <w:color w:val="auto"/>
          <w:sz w:val="24"/>
          <w:szCs w:val="24"/>
        </w:rPr>
        <w:t xml:space="preserve">CASI È </w:t>
      </w:r>
      <w:r w:rsidR="008D799E" w:rsidRPr="008D799E">
        <w:rPr>
          <w:b/>
          <w:bCs/>
          <w:color w:val="auto"/>
          <w:sz w:val="24"/>
          <w:szCs w:val="24"/>
        </w:rPr>
        <w:t xml:space="preserve">UN SEMPLICE RIMBALZO </w:t>
      </w:r>
      <w:r w:rsidR="00D6037C">
        <w:rPr>
          <w:b/>
          <w:bCs/>
          <w:color w:val="auto"/>
          <w:sz w:val="24"/>
          <w:szCs w:val="24"/>
        </w:rPr>
        <w:t xml:space="preserve">O L’INIZIO </w:t>
      </w:r>
      <w:r w:rsidR="008D799E">
        <w:rPr>
          <w:b/>
          <w:bCs/>
          <w:color w:val="auto"/>
          <w:sz w:val="24"/>
          <w:szCs w:val="24"/>
        </w:rPr>
        <w:t>DI UNA NUOVA ONDATA.</w:t>
      </w:r>
    </w:p>
    <w:p w:rsidR="006C1992" w:rsidRPr="000C2BD2" w:rsidRDefault="000C2BD2" w:rsidP="00C27E98">
      <w:pPr>
        <w:spacing w:after="200" w:line="276" w:lineRule="auto"/>
        <w:jc w:val="center"/>
        <w:rPr>
          <w:b/>
          <w:bCs/>
          <w:color w:val="auto"/>
          <w:spacing w:val="-2"/>
          <w:sz w:val="32"/>
          <w:szCs w:val="32"/>
        </w:rPr>
      </w:pPr>
      <w:r w:rsidRPr="000C2BD2">
        <w:rPr>
          <w:rFonts w:cs="Calibri"/>
          <w:b/>
          <w:bCs/>
          <w:color w:val="auto"/>
        </w:rPr>
        <w:t>10</w:t>
      </w:r>
      <w:r w:rsidR="007631BC" w:rsidRPr="000C2BD2">
        <w:rPr>
          <w:rFonts w:cs="Calibri"/>
          <w:b/>
          <w:bCs/>
          <w:color w:val="auto"/>
        </w:rPr>
        <w:t xml:space="preserve"> marzo</w:t>
      </w:r>
      <w:r w:rsidR="007D79B3" w:rsidRPr="000C2BD2">
        <w:rPr>
          <w:rFonts w:cs="Calibri"/>
          <w:b/>
          <w:bCs/>
          <w:color w:val="auto"/>
        </w:rPr>
        <w:t>2022</w:t>
      </w:r>
      <w:r w:rsidR="00B514EF" w:rsidRPr="000C2BD2">
        <w:rPr>
          <w:rFonts w:cs="Calibri"/>
          <w:b/>
          <w:bCs/>
          <w:color w:val="auto"/>
        </w:rPr>
        <w:t xml:space="preserve"> - Fondazione GIMBE, Bologna</w:t>
      </w:r>
    </w:p>
    <w:p w:rsidR="00696979" w:rsidRPr="00696979" w:rsidRDefault="00696979" w:rsidP="00061647">
      <w:pPr>
        <w:spacing w:line="276" w:lineRule="auto"/>
        <w:jc w:val="both"/>
        <w:rPr>
          <w:color w:val="auto"/>
        </w:rPr>
      </w:pPr>
      <w:r w:rsidRPr="00696979">
        <w:rPr>
          <w:color w:val="auto"/>
        </w:rPr>
        <w:t xml:space="preserve">Il monitoraggio indipendente della Fondazione GIMBE rileva nella settimana 2-8 marzo 2022, rispetto alla precedente, un </w:t>
      </w:r>
      <w:r w:rsidR="00B655B5">
        <w:rPr>
          <w:color w:val="auto"/>
        </w:rPr>
        <w:t xml:space="preserve">lieve </w:t>
      </w:r>
      <w:r w:rsidRPr="00696979">
        <w:rPr>
          <w:color w:val="auto"/>
        </w:rPr>
        <w:t>aumento di nuovi casi (279.555 vs 275.376) (</w:t>
      </w:r>
      <w:r w:rsidRPr="00696979">
        <w:rPr>
          <w:color w:val="auto"/>
          <w:highlight w:val="yellow"/>
        </w:rPr>
        <w:t>figura 1</w:t>
      </w:r>
      <w:r w:rsidRPr="00696979">
        <w:rPr>
          <w:color w:val="auto"/>
        </w:rPr>
        <w:t>) e una diminuzione dei decessi (1.201 vs 1.488) (</w:t>
      </w:r>
      <w:r w:rsidRPr="00696979">
        <w:rPr>
          <w:color w:val="auto"/>
          <w:highlight w:val="yellow"/>
        </w:rPr>
        <w:t>figura 2</w:t>
      </w:r>
      <w:r w:rsidRPr="00696979">
        <w:rPr>
          <w:color w:val="auto"/>
        </w:rPr>
        <w:t>). In calo anche i casi attualmente positivi (1.011.521 vs 1.073.230), le persone in isolamento domiciliare (1.002.153 vs 1.062.066), i ricoveri con sintomi (8.776 vs 10.456) e le terapie intensive (592 vs 708) (</w:t>
      </w:r>
      <w:r w:rsidRPr="00696979">
        <w:rPr>
          <w:color w:val="auto"/>
          <w:highlight w:val="yellow"/>
        </w:rPr>
        <w:t>figura 3</w:t>
      </w:r>
      <w:r w:rsidRPr="00696979">
        <w:rPr>
          <w:color w:val="auto"/>
        </w:rPr>
        <w:t>). In dettaglio, rispetto alla settimana precedente, si registrano le seguenti variazioni:</w:t>
      </w:r>
    </w:p>
    <w:p w:rsidR="00696979" w:rsidRPr="00696979" w:rsidRDefault="00696979" w:rsidP="00696979">
      <w:pPr>
        <w:pStyle w:val="Paragrafoelenco"/>
        <w:numPr>
          <w:ilvl w:val="0"/>
          <w:numId w:val="39"/>
        </w:numPr>
        <w:spacing w:after="0" w:line="276" w:lineRule="auto"/>
        <w:ind w:left="357" w:hanging="357"/>
        <w:jc w:val="both"/>
        <w:rPr>
          <w:color w:val="auto"/>
        </w:rPr>
      </w:pPr>
      <w:r w:rsidRPr="00696979">
        <w:rPr>
          <w:color w:val="auto"/>
        </w:rPr>
        <w:t>Decessi: 1.201 (-19,3%), di cui 95 riferiti a periodi precedenti</w:t>
      </w:r>
    </w:p>
    <w:p w:rsidR="00696979" w:rsidRPr="00696979" w:rsidRDefault="00696979" w:rsidP="00696979">
      <w:pPr>
        <w:pStyle w:val="Paragrafoelenco"/>
        <w:numPr>
          <w:ilvl w:val="0"/>
          <w:numId w:val="39"/>
        </w:numPr>
        <w:spacing w:after="0" w:line="276" w:lineRule="auto"/>
        <w:ind w:left="357" w:hanging="357"/>
        <w:jc w:val="both"/>
        <w:rPr>
          <w:color w:val="auto"/>
        </w:rPr>
      </w:pPr>
      <w:r w:rsidRPr="00696979">
        <w:rPr>
          <w:color w:val="auto"/>
        </w:rPr>
        <w:t>Terapia intensiva: -116 (-16,4%)</w:t>
      </w:r>
    </w:p>
    <w:p w:rsidR="00696979" w:rsidRPr="00696979" w:rsidRDefault="00696979" w:rsidP="00696979">
      <w:pPr>
        <w:pStyle w:val="Paragrafoelenco"/>
        <w:numPr>
          <w:ilvl w:val="0"/>
          <w:numId w:val="39"/>
        </w:numPr>
        <w:spacing w:after="0" w:line="276" w:lineRule="auto"/>
        <w:ind w:left="357" w:hanging="357"/>
        <w:jc w:val="both"/>
        <w:rPr>
          <w:color w:val="auto"/>
        </w:rPr>
      </w:pPr>
      <w:r w:rsidRPr="00696979">
        <w:rPr>
          <w:color w:val="auto"/>
        </w:rPr>
        <w:t>Ricoverati con sintomi: -1.680 (-16,1%)</w:t>
      </w:r>
    </w:p>
    <w:p w:rsidR="00696979" w:rsidRPr="00696979" w:rsidRDefault="00696979" w:rsidP="00696979">
      <w:pPr>
        <w:pStyle w:val="Paragrafoelenco"/>
        <w:numPr>
          <w:ilvl w:val="0"/>
          <w:numId w:val="39"/>
        </w:numPr>
        <w:spacing w:after="0" w:line="276" w:lineRule="auto"/>
        <w:ind w:left="357" w:hanging="357"/>
        <w:jc w:val="both"/>
        <w:rPr>
          <w:color w:val="auto"/>
        </w:rPr>
      </w:pPr>
      <w:r w:rsidRPr="00696979">
        <w:rPr>
          <w:color w:val="auto"/>
        </w:rPr>
        <w:t>Isolamento domiciliare: -59.913 (-5,6%)</w:t>
      </w:r>
    </w:p>
    <w:p w:rsidR="00696979" w:rsidRPr="00696979" w:rsidRDefault="00696979" w:rsidP="00696979">
      <w:pPr>
        <w:pStyle w:val="Paragrafoelenco"/>
        <w:numPr>
          <w:ilvl w:val="0"/>
          <w:numId w:val="39"/>
        </w:numPr>
        <w:spacing w:after="0" w:line="276" w:lineRule="auto"/>
        <w:ind w:left="357" w:hanging="357"/>
        <w:jc w:val="both"/>
        <w:rPr>
          <w:color w:val="auto"/>
        </w:rPr>
      </w:pPr>
      <w:r w:rsidRPr="00696979">
        <w:rPr>
          <w:color w:val="auto"/>
        </w:rPr>
        <w:t>Nuovi casi: 279.555 (+1,5%)</w:t>
      </w:r>
    </w:p>
    <w:p w:rsidR="00696979" w:rsidRPr="00696979" w:rsidRDefault="00696979" w:rsidP="00696979">
      <w:pPr>
        <w:pStyle w:val="Paragrafoelenco"/>
        <w:numPr>
          <w:ilvl w:val="0"/>
          <w:numId w:val="39"/>
        </w:numPr>
        <w:spacing w:line="276" w:lineRule="auto"/>
        <w:jc w:val="both"/>
        <w:rPr>
          <w:color w:val="auto"/>
        </w:rPr>
      </w:pPr>
      <w:r w:rsidRPr="00696979">
        <w:rPr>
          <w:color w:val="auto"/>
        </w:rPr>
        <w:t>Casi attualmente positivi: -61.709 (-5,7%)</w:t>
      </w:r>
    </w:p>
    <w:p w:rsidR="00FA4320" w:rsidRDefault="00FA4320" w:rsidP="00F41F65">
      <w:pPr>
        <w:spacing w:line="276" w:lineRule="auto"/>
        <w:jc w:val="both"/>
        <w:rPr>
          <w:color w:val="auto"/>
        </w:rPr>
      </w:pPr>
      <w:r w:rsidRPr="00696979">
        <w:rPr>
          <w:b/>
          <w:color w:val="auto"/>
        </w:rPr>
        <w:t xml:space="preserve">Nuovi casi. </w:t>
      </w:r>
      <w:r w:rsidRPr="00696979">
        <w:rPr>
          <w:color w:val="auto"/>
        </w:rPr>
        <w:t>«</w:t>
      </w:r>
      <w:r w:rsidR="005200F6">
        <w:rPr>
          <w:color w:val="auto"/>
        </w:rPr>
        <w:t>D</w:t>
      </w:r>
      <w:r w:rsidR="005200F6" w:rsidRPr="00696979">
        <w:rPr>
          <w:color w:val="auto"/>
        </w:rPr>
        <w:t>opo cinque settimane</w:t>
      </w:r>
      <w:r w:rsidRPr="00696979">
        <w:rPr>
          <w:color w:val="auto"/>
        </w:rPr>
        <w:t>– dichiara Nino Cartabellotta, Presidente della Fondazione GIMBE –</w:t>
      </w:r>
      <w:r w:rsidR="005200F6">
        <w:rPr>
          <w:color w:val="auto"/>
        </w:rPr>
        <w:t xml:space="preserve"> si arresta</w:t>
      </w:r>
      <w:r w:rsidR="005200F6" w:rsidRPr="00696979">
        <w:rPr>
          <w:color w:val="auto"/>
        </w:rPr>
        <w:t xml:space="preserve"> la discesa </w:t>
      </w:r>
      <w:r w:rsidR="005200F6">
        <w:rPr>
          <w:color w:val="auto"/>
        </w:rPr>
        <w:t xml:space="preserve">dei </w:t>
      </w:r>
      <w:r w:rsidR="005200F6" w:rsidRPr="00696979">
        <w:rPr>
          <w:color w:val="auto"/>
        </w:rPr>
        <w:t>nuovi casi settimanali</w:t>
      </w:r>
      <w:r w:rsidR="005200F6">
        <w:rPr>
          <w:color w:val="auto"/>
        </w:rPr>
        <w:t>,</w:t>
      </w:r>
      <w:r>
        <w:rPr>
          <w:color w:val="auto"/>
        </w:rPr>
        <w:t xml:space="preserve">nonostante un calo del numero dei tamponi dell’8,8% </w:t>
      </w:r>
      <w:r w:rsidRPr="00696979">
        <w:rPr>
          <w:color w:val="auto"/>
        </w:rPr>
        <w:t>rispetto alla settimana precedente</w:t>
      </w:r>
      <w:r w:rsidR="005200F6">
        <w:rPr>
          <w:color w:val="auto"/>
        </w:rPr>
        <w:t xml:space="preserve">. I nuovi casi </w:t>
      </w:r>
      <w:r w:rsidRPr="00696979">
        <w:rPr>
          <w:color w:val="auto"/>
        </w:rPr>
        <w:t xml:space="preserve">si attestano intorno a 279 mila, con un incremento dell’1,5% e una media mobile a 7 giorni che </w:t>
      </w:r>
      <w:r w:rsidR="00C678EB">
        <w:rPr>
          <w:color w:val="auto"/>
        </w:rPr>
        <w:t>sale</w:t>
      </w:r>
      <w:r w:rsidRPr="00696979">
        <w:rPr>
          <w:color w:val="auto"/>
        </w:rPr>
        <w:t>da 39.339 casi del 1° marzo a 39.936 l’8 marzo (+5,8%)»(</w:t>
      </w:r>
      <w:r w:rsidRPr="00696979">
        <w:rPr>
          <w:color w:val="auto"/>
          <w:highlight w:val="yellow"/>
        </w:rPr>
        <w:t>figura 4</w:t>
      </w:r>
      <w:r w:rsidRPr="00696979">
        <w:rPr>
          <w:color w:val="auto"/>
        </w:rPr>
        <w:t>).</w:t>
      </w:r>
    </w:p>
    <w:p w:rsidR="008568BE" w:rsidRPr="000C2BD2" w:rsidRDefault="00AC37CB" w:rsidP="00F41F65">
      <w:pPr>
        <w:spacing w:line="276" w:lineRule="auto"/>
        <w:jc w:val="both"/>
        <w:rPr>
          <w:color w:val="FF0000"/>
        </w:rPr>
      </w:pPr>
      <w:r w:rsidRPr="00D07DCA">
        <w:rPr>
          <w:color w:val="auto"/>
        </w:rPr>
        <w:lastRenderedPageBreak/>
        <w:t xml:space="preserve">Nella </w:t>
      </w:r>
      <w:r w:rsidR="008568BE" w:rsidRPr="00D07DCA">
        <w:rPr>
          <w:color w:val="auto"/>
        </w:rPr>
        <w:t xml:space="preserve">settimana </w:t>
      </w:r>
      <w:r w:rsidR="00D07DCA" w:rsidRPr="00D07DCA">
        <w:rPr>
          <w:color w:val="auto"/>
        </w:rPr>
        <w:t>2-8</w:t>
      </w:r>
      <w:r w:rsidR="0093429F" w:rsidRPr="00D07DCA">
        <w:rPr>
          <w:color w:val="auto"/>
        </w:rPr>
        <w:t xml:space="preserve"> marzo</w:t>
      </w:r>
      <w:r w:rsidR="00036D6B" w:rsidRPr="00D07DCA">
        <w:rPr>
          <w:color w:val="auto"/>
        </w:rPr>
        <w:t xml:space="preserve">si </w:t>
      </w:r>
      <w:r w:rsidR="00EA4C24" w:rsidRPr="00D07DCA">
        <w:rPr>
          <w:color w:val="auto"/>
        </w:rPr>
        <w:t xml:space="preserve">rileva </w:t>
      </w:r>
      <w:r w:rsidR="004B6A39" w:rsidRPr="00D07DCA">
        <w:rPr>
          <w:color w:val="auto"/>
        </w:rPr>
        <w:t>un</w:t>
      </w:r>
      <w:r w:rsidR="00D07DCA" w:rsidRPr="00D07DCA">
        <w:rPr>
          <w:color w:val="auto"/>
        </w:rPr>
        <w:t xml:space="preserve"> incremento </w:t>
      </w:r>
      <w:r w:rsidR="008568BE" w:rsidRPr="00D07DCA">
        <w:rPr>
          <w:color w:val="auto"/>
        </w:rPr>
        <w:t>p</w:t>
      </w:r>
      <w:r w:rsidR="00ED6992" w:rsidRPr="00D07DCA">
        <w:rPr>
          <w:color w:val="auto"/>
        </w:rPr>
        <w:t>ercentuale dei nuovi casi</w:t>
      </w:r>
      <w:r w:rsidR="00D07DCA" w:rsidRPr="00D07DCA">
        <w:rPr>
          <w:color w:val="auto"/>
        </w:rPr>
        <w:t xml:space="preserve"> in 12 Regioni e una riduzione in 9</w:t>
      </w:r>
      <w:r w:rsidR="00044EB9" w:rsidRPr="00D07DCA">
        <w:rPr>
          <w:color w:val="auto"/>
        </w:rPr>
        <w:t>:</w:t>
      </w:r>
      <w:r w:rsidR="00B32A3E" w:rsidRPr="00D07DCA">
        <w:rPr>
          <w:color w:val="auto"/>
        </w:rPr>
        <w:t>da</w:t>
      </w:r>
      <w:r w:rsidR="00911864" w:rsidRPr="00D07DCA">
        <w:rPr>
          <w:color w:val="auto"/>
        </w:rPr>
        <w:t>l</w:t>
      </w:r>
      <w:r w:rsidR="00C678EB" w:rsidRPr="00D07DCA">
        <w:rPr>
          <w:color w:val="auto"/>
        </w:rPr>
        <w:t>+37,4% dell’Umbria</w:t>
      </w:r>
      <w:r w:rsidR="00C678EB">
        <w:rPr>
          <w:color w:val="auto"/>
        </w:rPr>
        <w:t xml:space="preserve"> al</w:t>
      </w:r>
      <w:r w:rsidR="00EA4C24" w:rsidRPr="00D07DCA">
        <w:rPr>
          <w:color w:val="auto"/>
        </w:rPr>
        <w:t>-</w:t>
      </w:r>
      <w:r w:rsidR="00D07DCA" w:rsidRPr="00D07DCA">
        <w:rPr>
          <w:color w:val="auto"/>
        </w:rPr>
        <w:t>12</w:t>
      </w:r>
      <w:r w:rsidR="00F41F65" w:rsidRPr="00D07DCA">
        <w:rPr>
          <w:color w:val="auto"/>
        </w:rPr>
        <w:t>,</w:t>
      </w:r>
      <w:r w:rsidR="00D07DCA" w:rsidRPr="00D07DCA">
        <w:rPr>
          <w:color w:val="auto"/>
        </w:rPr>
        <w:t>7</w:t>
      </w:r>
      <w:r w:rsidR="00E82708" w:rsidRPr="00D07DCA">
        <w:rPr>
          <w:color w:val="auto"/>
        </w:rPr>
        <w:t>%</w:t>
      </w:r>
      <w:r w:rsidR="00D07DCA" w:rsidRPr="00D07DCA">
        <w:rPr>
          <w:color w:val="auto"/>
        </w:rPr>
        <w:t>del Lazio</w:t>
      </w:r>
      <w:r w:rsidR="008568BE" w:rsidRPr="00D07DCA">
        <w:rPr>
          <w:color w:val="auto"/>
        </w:rPr>
        <w:t>(</w:t>
      </w:r>
      <w:r w:rsidR="008568BE" w:rsidRPr="00D07DCA">
        <w:rPr>
          <w:color w:val="auto"/>
          <w:highlight w:val="yellow"/>
        </w:rPr>
        <w:t>tabella 1</w:t>
      </w:r>
      <w:r w:rsidR="008568BE" w:rsidRPr="00D07DCA">
        <w:rPr>
          <w:color w:val="auto"/>
        </w:rPr>
        <w:t xml:space="preserve">). </w:t>
      </w:r>
      <w:r w:rsidR="009A6947">
        <w:rPr>
          <w:color w:val="auto"/>
        </w:rPr>
        <w:t xml:space="preserve">In quasi metà delle Province (49) si registra un incremento percentuale dei nuovi casi rispetto alla settimana precedente. </w:t>
      </w:r>
      <w:r w:rsidR="005200F6">
        <w:rPr>
          <w:color w:val="auto"/>
        </w:rPr>
        <w:t>S</w:t>
      </w:r>
      <w:r w:rsidR="00D07DCA" w:rsidRPr="00D07DCA">
        <w:rPr>
          <w:color w:val="auto"/>
        </w:rPr>
        <w:t xml:space="preserve">algono </w:t>
      </w:r>
      <w:r w:rsidR="005200F6">
        <w:rPr>
          <w:color w:val="auto"/>
        </w:rPr>
        <w:t xml:space="preserve">da 42 </w:t>
      </w:r>
      <w:r w:rsidR="00D07DCA" w:rsidRPr="00D07DCA">
        <w:rPr>
          <w:color w:val="auto"/>
        </w:rPr>
        <w:t>a 48</w:t>
      </w:r>
      <w:r w:rsidR="00A5060E" w:rsidRPr="00D07DCA">
        <w:rPr>
          <w:color w:val="auto"/>
        </w:rPr>
        <w:t xml:space="preserve"> le Province </w:t>
      </w:r>
      <w:r w:rsidR="008C7A58" w:rsidRPr="00D07DCA">
        <w:rPr>
          <w:color w:val="auto"/>
        </w:rPr>
        <w:t>con incidenza superiore a</w:t>
      </w:r>
      <w:r w:rsidR="00A5060E" w:rsidRPr="00D07DCA">
        <w:rPr>
          <w:color w:val="auto"/>
        </w:rPr>
        <w:t xml:space="preserve"> 500 casi per 100.000 abitanti</w:t>
      </w:r>
      <w:r w:rsidR="00D07DCA" w:rsidRPr="00D07DCA">
        <w:rPr>
          <w:color w:val="auto"/>
        </w:rPr>
        <w:t xml:space="preserve">:Lecce (1.035), Agrigento (924), Reggio di Calabria (920), Messina (906), Ragusa (859), Vibo Valentia (849), Trapani (842), Perugia (815), Ascoli Piceno (795), Fermo (763), Grosseto (737), Oristano (735), Matera (735), Siena (717), Terni (716), Siracusa (704), Bolzano (675), Crotone (669), Sassari (668), Lucca (668), Campobasso (645), Arezzo (636), Macerata (634), Ancona (633), Enna (633), Palermo (633), Venezia (632), Cosenza (631), Benevento (630), Caltanissetta (629), Livorno (582), Foggia (579), Padova (568), Chieti (564), Caserta (563), Rieti (560), Bari (559), Isernia (559), Frosinone (559), L'Aquila (556), Latina (555), Massa Carrara </w:t>
      </w:r>
      <w:bookmarkStart w:id="0" w:name="_GoBack"/>
      <w:bookmarkEnd w:id="0"/>
      <w:r w:rsidR="00D07DCA" w:rsidRPr="00D07DCA">
        <w:rPr>
          <w:color w:val="auto"/>
        </w:rPr>
        <w:t>(553), Teramo (550), Potenza (548), Avellino (546), Cagliari (518), Taranto (518) e Pescara (516)</w:t>
      </w:r>
      <w:r w:rsidR="008568BE" w:rsidRPr="00D07DCA">
        <w:rPr>
          <w:color w:val="auto"/>
        </w:rPr>
        <w:t>(</w:t>
      </w:r>
      <w:r w:rsidR="008568BE" w:rsidRPr="00D07DCA">
        <w:rPr>
          <w:color w:val="auto"/>
          <w:highlight w:val="yellow"/>
        </w:rPr>
        <w:t>tabella 2</w:t>
      </w:r>
      <w:r w:rsidR="008568BE" w:rsidRPr="00D07DCA">
        <w:rPr>
          <w:color w:val="auto"/>
        </w:rPr>
        <w:t>).</w:t>
      </w:r>
    </w:p>
    <w:p w:rsidR="00A02710" w:rsidRPr="00A02710" w:rsidRDefault="00A02710" w:rsidP="008D2843">
      <w:pPr>
        <w:spacing w:line="276" w:lineRule="auto"/>
        <w:jc w:val="both"/>
        <w:rPr>
          <w:color w:val="auto"/>
        </w:rPr>
      </w:pPr>
      <w:r w:rsidRPr="00A02710">
        <w:rPr>
          <w:b/>
          <w:color w:val="auto"/>
        </w:rPr>
        <w:t>Testing.</w:t>
      </w:r>
      <w:r w:rsidR="00C678EB">
        <w:rPr>
          <w:color w:val="auto"/>
        </w:rPr>
        <w:t>Il</w:t>
      </w:r>
      <w:r w:rsidRPr="00A02710">
        <w:rPr>
          <w:color w:val="auto"/>
        </w:rPr>
        <w:t xml:space="preserve"> numero dei tamponi totali </w:t>
      </w:r>
      <w:r w:rsidR="00C678EB">
        <w:rPr>
          <w:color w:val="auto"/>
        </w:rPr>
        <w:t>scende ulteriormente</w:t>
      </w:r>
      <w:r w:rsidRPr="00A02710">
        <w:rPr>
          <w:color w:val="auto"/>
        </w:rPr>
        <w:t xml:space="preserve"> da 2.885.324 della settimana 23 febbraio 2022-1 marzo 2022 a 2.632.634 della settimana 2-8 marzo 2022</w:t>
      </w:r>
      <w:r w:rsidR="00C678EB" w:rsidRPr="00A02710">
        <w:rPr>
          <w:color w:val="auto"/>
        </w:rPr>
        <w:t>(-8,8%)</w:t>
      </w:r>
      <w:r w:rsidRPr="00A02710">
        <w:rPr>
          <w:color w:val="auto"/>
        </w:rPr>
        <w:t>. In particolare i tamponi rapidi si sono ridotti dell’8,1% (-174.500) e quelli molecolari del 10,7% (-78.190) (</w:t>
      </w:r>
      <w:r w:rsidRPr="00A02710">
        <w:rPr>
          <w:color w:val="auto"/>
          <w:highlight w:val="yellow"/>
        </w:rPr>
        <w:t>figura 5</w:t>
      </w:r>
      <w:r w:rsidRPr="00A02710">
        <w:rPr>
          <w:color w:val="auto"/>
        </w:rPr>
        <w:t xml:space="preserve">). La media mobile a 7 giorni del tasso di positività dei tamponi molecolari </w:t>
      </w:r>
      <w:r w:rsidR="003120AF">
        <w:rPr>
          <w:color w:val="auto"/>
        </w:rPr>
        <w:t>sale</w:t>
      </w:r>
      <w:r w:rsidRPr="00A02710">
        <w:rPr>
          <w:color w:val="auto"/>
        </w:rPr>
        <w:t>dal 9,2% al 9,5%, mentre per gli antigenici rapidi dal 9,7% al 11,2% (</w:t>
      </w:r>
      <w:r w:rsidRPr="00A02710">
        <w:rPr>
          <w:color w:val="auto"/>
          <w:highlight w:val="yellow"/>
        </w:rPr>
        <w:t>figura 6</w:t>
      </w:r>
      <w:r w:rsidRPr="00A02710">
        <w:rPr>
          <w:color w:val="auto"/>
        </w:rPr>
        <w:t>).</w:t>
      </w:r>
    </w:p>
    <w:p w:rsidR="00696979" w:rsidRPr="00A02710" w:rsidRDefault="00C27708" w:rsidP="00500148">
      <w:pPr>
        <w:spacing w:line="276" w:lineRule="auto"/>
        <w:jc w:val="both"/>
        <w:rPr>
          <w:color w:val="auto"/>
        </w:rPr>
      </w:pPr>
      <w:bookmarkStart w:id="1" w:name="_Hlk85025666"/>
      <w:r w:rsidRPr="00A02710">
        <w:rPr>
          <w:b/>
          <w:color w:val="auto"/>
        </w:rPr>
        <w:t xml:space="preserve">Ospedalizzazioni. </w:t>
      </w:r>
      <w:r w:rsidR="002348FC" w:rsidRPr="00A02710">
        <w:rPr>
          <w:color w:val="auto"/>
        </w:rPr>
        <w:t>«</w:t>
      </w:r>
      <w:r w:rsidR="003120AF">
        <w:rPr>
          <w:color w:val="auto"/>
        </w:rPr>
        <w:t>Sul fronte degli</w:t>
      </w:r>
      <w:r w:rsidR="002723FF" w:rsidRPr="00A02710">
        <w:rPr>
          <w:color w:val="auto"/>
        </w:rPr>
        <w:t>ospedali</w:t>
      </w:r>
      <w:r w:rsidR="00582BAE" w:rsidRPr="00A02710">
        <w:rPr>
          <w:color w:val="auto"/>
        </w:rPr>
        <w:t xml:space="preserve">– </w:t>
      </w:r>
      <w:r w:rsidR="002348FC" w:rsidRPr="00A02710">
        <w:rPr>
          <w:color w:val="auto"/>
        </w:rPr>
        <w:t>afferma Renata Gili, responsabile Ricerca sui Servizi S</w:t>
      </w:r>
      <w:r w:rsidR="00EE5241" w:rsidRPr="00A02710">
        <w:rPr>
          <w:color w:val="auto"/>
        </w:rPr>
        <w:t>anitari della Fondazione GIMBE</w:t>
      </w:r>
      <w:r w:rsidR="00B813D5" w:rsidRPr="00A02710">
        <w:rPr>
          <w:color w:val="auto"/>
        </w:rPr>
        <w:t xml:space="preserve"> –</w:t>
      </w:r>
      <w:r w:rsidR="00894BA6" w:rsidRPr="00A02710">
        <w:rPr>
          <w:color w:val="auto"/>
        </w:rPr>
        <w:t xml:space="preserve">i posti letto occupati da pazienti COVID </w:t>
      </w:r>
      <w:r w:rsidR="00CD2BF7" w:rsidRPr="00A02710">
        <w:rPr>
          <w:color w:val="auto"/>
        </w:rPr>
        <w:t xml:space="preserve">diminuiscono </w:t>
      </w:r>
      <w:r w:rsidR="003120AF">
        <w:rPr>
          <w:color w:val="auto"/>
        </w:rPr>
        <w:t xml:space="preserve">ulteriormente </w:t>
      </w:r>
      <w:r w:rsidR="00783A99" w:rsidRPr="00A02710">
        <w:rPr>
          <w:color w:val="auto"/>
        </w:rPr>
        <w:t xml:space="preserve">sia </w:t>
      </w:r>
      <w:r w:rsidR="00D6718E" w:rsidRPr="00A02710">
        <w:rPr>
          <w:color w:val="auto"/>
        </w:rPr>
        <w:t xml:space="preserve">in area medica </w:t>
      </w:r>
      <w:r w:rsidR="00894BA6" w:rsidRPr="00A02710">
        <w:rPr>
          <w:color w:val="auto"/>
        </w:rPr>
        <w:t>(-</w:t>
      </w:r>
      <w:r w:rsidR="00A02710" w:rsidRPr="00A02710">
        <w:rPr>
          <w:color w:val="auto"/>
        </w:rPr>
        <w:t>16,1</w:t>
      </w:r>
      <w:r w:rsidR="00894BA6" w:rsidRPr="00A02710">
        <w:rPr>
          <w:color w:val="auto"/>
        </w:rPr>
        <w:t xml:space="preserve">%) </w:t>
      </w:r>
      <w:r w:rsidR="00447CB6" w:rsidRPr="00A02710">
        <w:rPr>
          <w:color w:val="auto"/>
        </w:rPr>
        <w:t xml:space="preserve">che </w:t>
      </w:r>
      <w:r w:rsidR="00297DEB" w:rsidRPr="00A02710">
        <w:rPr>
          <w:color w:val="auto"/>
        </w:rPr>
        <w:t xml:space="preserve">in </w:t>
      </w:r>
      <w:r w:rsidR="00A51B01" w:rsidRPr="00A02710">
        <w:rPr>
          <w:color w:val="auto"/>
        </w:rPr>
        <w:t>terapia intensiva</w:t>
      </w:r>
      <w:r w:rsidR="00385142" w:rsidRPr="00A02710">
        <w:rPr>
          <w:color w:val="auto"/>
        </w:rPr>
        <w:t xml:space="preserve"> (-</w:t>
      </w:r>
      <w:r w:rsidR="00A02710" w:rsidRPr="00A02710">
        <w:rPr>
          <w:color w:val="auto"/>
        </w:rPr>
        <w:t>16,4</w:t>
      </w:r>
      <w:r w:rsidR="00385142" w:rsidRPr="00A02710">
        <w:rPr>
          <w:color w:val="auto"/>
        </w:rPr>
        <w:t>%)</w:t>
      </w:r>
      <w:r w:rsidR="00A51B01" w:rsidRPr="00A02710">
        <w:rPr>
          <w:color w:val="auto"/>
        </w:rPr>
        <w:t>»</w:t>
      </w:r>
      <w:r w:rsidR="000A422E" w:rsidRPr="00A02710">
        <w:rPr>
          <w:color w:val="auto"/>
        </w:rPr>
        <w:t xml:space="preserve">. </w:t>
      </w:r>
      <w:r w:rsidR="00B813D5" w:rsidRPr="00A02710">
        <w:rPr>
          <w:color w:val="auto"/>
        </w:rPr>
        <w:t xml:space="preserve">In particolare, in </w:t>
      </w:r>
      <w:r w:rsidR="00904498" w:rsidRPr="00A02710">
        <w:rPr>
          <w:color w:val="auto"/>
        </w:rPr>
        <w:t>area critica</w:t>
      </w:r>
      <w:r w:rsidR="00CD2BF7" w:rsidRPr="00A02710">
        <w:rPr>
          <w:color w:val="auto"/>
        </w:rPr>
        <w:t>da</w:t>
      </w:r>
      <w:r w:rsidR="00376E88" w:rsidRPr="00A02710">
        <w:rPr>
          <w:color w:val="auto"/>
        </w:rPr>
        <w:t>l picco di</w:t>
      </w:r>
      <w:r w:rsidR="00CD2BF7" w:rsidRPr="00A02710">
        <w:rPr>
          <w:color w:val="auto"/>
        </w:rPr>
        <w:t xml:space="preserve"> 1.717 del 17 gennaio </w:t>
      </w:r>
      <w:r w:rsidR="00C34550" w:rsidRPr="00A02710">
        <w:rPr>
          <w:color w:val="auto"/>
        </w:rPr>
        <w:t xml:space="preserve">i ricoveri scendono </w:t>
      </w:r>
      <w:r w:rsidR="00CD2BF7" w:rsidRPr="00A02710">
        <w:rPr>
          <w:color w:val="auto"/>
        </w:rPr>
        <w:t xml:space="preserve">a </w:t>
      </w:r>
      <w:r w:rsidR="00696979" w:rsidRPr="00A02710">
        <w:rPr>
          <w:color w:val="auto"/>
        </w:rPr>
        <w:t>592l’8</w:t>
      </w:r>
      <w:r w:rsidR="0093429F" w:rsidRPr="00A02710">
        <w:rPr>
          <w:color w:val="auto"/>
        </w:rPr>
        <w:t xml:space="preserve"> marzo</w:t>
      </w:r>
      <w:r w:rsidR="00376E88" w:rsidRPr="00A02710">
        <w:rPr>
          <w:color w:val="auto"/>
        </w:rPr>
        <w:t xml:space="preserve">; in area medica </w:t>
      </w:r>
      <w:r w:rsidR="00E74FB2" w:rsidRPr="00A02710">
        <w:rPr>
          <w:color w:val="auto"/>
        </w:rPr>
        <w:t>da</w:t>
      </w:r>
      <w:r w:rsidR="00376E88" w:rsidRPr="00A02710">
        <w:rPr>
          <w:color w:val="auto"/>
        </w:rPr>
        <w:t xml:space="preserve">l picco </w:t>
      </w:r>
      <w:r w:rsidR="00376E88" w:rsidRPr="00696979">
        <w:rPr>
          <w:color w:val="auto"/>
        </w:rPr>
        <w:t>di</w:t>
      </w:r>
      <w:r w:rsidR="00E74FB2" w:rsidRPr="00696979">
        <w:rPr>
          <w:color w:val="auto"/>
        </w:rPr>
        <w:t xml:space="preserve"> 19.</w:t>
      </w:r>
      <w:r w:rsidR="0092307C" w:rsidRPr="00696979">
        <w:rPr>
          <w:color w:val="auto"/>
        </w:rPr>
        <w:t>913</w:t>
      </w:r>
      <w:r w:rsidR="00E74FB2" w:rsidRPr="00696979">
        <w:rPr>
          <w:color w:val="auto"/>
        </w:rPr>
        <w:t xml:space="preserve"> del </w:t>
      </w:r>
      <w:r w:rsidR="00447CB6" w:rsidRPr="00696979">
        <w:rPr>
          <w:color w:val="auto"/>
        </w:rPr>
        <w:t>31</w:t>
      </w:r>
      <w:r w:rsidR="00E74FB2" w:rsidRPr="00696979">
        <w:rPr>
          <w:color w:val="auto"/>
        </w:rPr>
        <w:t xml:space="preserve"> gennaio a </w:t>
      </w:r>
      <w:r w:rsidR="00696979" w:rsidRPr="00696979">
        <w:rPr>
          <w:color w:val="auto"/>
        </w:rPr>
        <w:t>8.776l’8</w:t>
      </w:r>
      <w:r w:rsidR="0093429F" w:rsidRPr="00696979">
        <w:rPr>
          <w:color w:val="auto"/>
        </w:rPr>
        <w:t xml:space="preserve"> marzo </w:t>
      </w:r>
      <w:r w:rsidR="008B58B8" w:rsidRPr="00696979">
        <w:rPr>
          <w:color w:val="auto"/>
        </w:rPr>
        <w:t>(</w:t>
      </w:r>
      <w:r w:rsidR="008B58B8" w:rsidRPr="00696979">
        <w:rPr>
          <w:color w:val="auto"/>
          <w:highlight w:val="yellow"/>
        </w:rPr>
        <w:t xml:space="preserve">figura </w:t>
      </w:r>
      <w:r w:rsidR="00061647" w:rsidRPr="00696979">
        <w:rPr>
          <w:color w:val="auto"/>
          <w:highlight w:val="yellow"/>
        </w:rPr>
        <w:t>7</w:t>
      </w:r>
      <w:r w:rsidR="008B58B8" w:rsidRPr="00696979">
        <w:rPr>
          <w:color w:val="auto"/>
        </w:rPr>
        <w:t>)</w:t>
      </w:r>
      <w:r w:rsidR="00297DEB" w:rsidRPr="00696979">
        <w:rPr>
          <w:color w:val="auto"/>
        </w:rPr>
        <w:t>.</w:t>
      </w:r>
      <w:r w:rsidR="00696979" w:rsidRPr="00696979">
        <w:rPr>
          <w:color w:val="auto"/>
        </w:rPr>
        <w:t>All’8</w:t>
      </w:r>
      <w:r w:rsidR="0093429F" w:rsidRPr="00696979">
        <w:rPr>
          <w:color w:val="auto"/>
        </w:rPr>
        <w:t xml:space="preserve"> marzo</w:t>
      </w:r>
      <w:r w:rsidR="002348FC" w:rsidRPr="00696979">
        <w:rPr>
          <w:color w:val="auto"/>
        </w:rPr>
        <w:t xml:space="preserve">il tasso </w:t>
      </w:r>
      <w:r w:rsidR="00894BA6" w:rsidRPr="00696979">
        <w:rPr>
          <w:color w:val="auto"/>
        </w:rPr>
        <w:t xml:space="preserve">nazionale </w:t>
      </w:r>
      <w:r w:rsidR="002348FC" w:rsidRPr="00696979">
        <w:rPr>
          <w:color w:val="auto"/>
        </w:rPr>
        <w:t xml:space="preserve">di occupazione </w:t>
      </w:r>
      <w:r w:rsidR="004C18D7" w:rsidRPr="00696979">
        <w:rPr>
          <w:color w:val="auto"/>
        </w:rPr>
        <w:t xml:space="preserve">da parte di pazienti COVID </w:t>
      </w:r>
      <w:r w:rsidR="002348FC" w:rsidRPr="00696979">
        <w:rPr>
          <w:color w:val="auto"/>
        </w:rPr>
        <w:t xml:space="preserve">è </w:t>
      </w:r>
      <w:r w:rsidR="005278CA" w:rsidRPr="00696979">
        <w:rPr>
          <w:color w:val="auto"/>
        </w:rPr>
        <w:t>del</w:t>
      </w:r>
      <w:r w:rsidR="00571B0C" w:rsidRPr="00696979">
        <w:rPr>
          <w:color w:val="auto"/>
        </w:rPr>
        <w:t>1</w:t>
      </w:r>
      <w:r w:rsidR="00696979" w:rsidRPr="00696979">
        <w:rPr>
          <w:color w:val="auto"/>
        </w:rPr>
        <w:t>3,5</w:t>
      </w:r>
      <w:r w:rsidR="002E37EA" w:rsidRPr="00696979">
        <w:rPr>
          <w:color w:val="auto"/>
        </w:rPr>
        <w:t>% in area medica e del</w:t>
      </w:r>
      <w:r w:rsidR="00696979" w:rsidRPr="00696979">
        <w:rPr>
          <w:color w:val="auto"/>
        </w:rPr>
        <w:t>6</w:t>
      </w:r>
      <w:r w:rsidR="00447CB6" w:rsidRPr="00696979">
        <w:rPr>
          <w:color w:val="auto"/>
        </w:rPr>
        <w:t>,</w:t>
      </w:r>
      <w:r w:rsidR="00696979" w:rsidRPr="00696979">
        <w:rPr>
          <w:color w:val="auto"/>
        </w:rPr>
        <w:t>2</w:t>
      </w:r>
      <w:r w:rsidR="002348FC" w:rsidRPr="00696979">
        <w:rPr>
          <w:color w:val="auto"/>
        </w:rPr>
        <w:t>% in area critica</w:t>
      </w:r>
      <w:bookmarkEnd w:id="1"/>
      <w:r w:rsidR="00C97388" w:rsidRPr="00696979">
        <w:rPr>
          <w:color w:val="auto"/>
        </w:rPr>
        <w:t>.</w:t>
      </w:r>
      <w:r w:rsidR="00696979" w:rsidRPr="00696979">
        <w:rPr>
          <w:color w:val="auto"/>
        </w:rPr>
        <w:t xml:space="preserve">Abruzzo, Basilicata, Calabria, Lazio, Marche, Molise, Puglia, Sardegna, Sicilia e Umbria </w:t>
      </w:r>
      <w:r w:rsidR="00341691" w:rsidRPr="00696979">
        <w:rPr>
          <w:color w:val="auto"/>
        </w:rPr>
        <w:t>superano la soglia del 15% in area medica</w:t>
      </w:r>
      <w:r w:rsidR="005354A9" w:rsidRPr="00696979">
        <w:rPr>
          <w:color w:val="auto"/>
        </w:rPr>
        <w:t xml:space="preserve">; </w:t>
      </w:r>
      <w:r w:rsidR="00696979" w:rsidRPr="00696979">
        <w:rPr>
          <w:color w:val="auto"/>
        </w:rPr>
        <w:t xml:space="preserve">nessuna Regione va </w:t>
      </w:r>
      <w:r w:rsidR="00C808C1" w:rsidRPr="00696979">
        <w:rPr>
          <w:color w:val="auto"/>
        </w:rPr>
        <w:t xml:space="preserve">oltre </w:t>
      </w:r>
      <w:r w:rsidR="00341691" w:rsidRPr="00696979">
        <w:rPr>
          <w:color w:val="auto"/>
        </w:rPr>
        <w:t>la soglia del 10% in area critica</w:t>
      </w:r>
      <w:r w:rsidR="004B6DC2" w:rsidRPr="00696979">
        <w:rPr>
          <w:color w:val="auto"/>
        </w:rPr>
        <w:t>(</w:t>
      </w:r>
      <w:r w:rsidR="004B6DC2" w:rsidRPr="00696979">
        <w:rPr>
          <w:color w:val="auto"/>
          <w:highlight w:val="yellow"/>
        </w:rPr>
        <w:t xml:space="preserve">figura </w:t>
      </w:r>
      <w:r w:rsidR="00061647" w:rsidRPr="00696979">
        <w:rPr>
          <w:color w:val="auto"/>
          <w:highlight w:val="yellow"/>
        </w:rPr>
        <w:t>8</w:t>
      </w:r>
      <w:r w:rsidR="004B6DC2" w:rsidRPr="00696979">
        <w:rPr>
          <w:color w:val="auto"/>
        </w:rPr>
        <w:t>)</w:t>
      </w:r>
      <w:r w:rsidR="00341691" w:rsidRPr="00696979">
        <w:rPr>
          <w:color w:val="auto"/>
        </w:rPr>
        <w:t>.</w:t>
      </w:r>
      <w:r w:rsidR="00BD67DE" w:rsidRPr="00696979">
        <w:rPr>
          <w:color w:val="auto"/>
        </w:rPr>
        <w:t>«</w:t>
      </w:r>
      <w:r w:rsidR="00E94BC6" w:rsidRPr="00696979">
        <w:rPr>
          <w:color w:val="auto"/>
        </w:rPr>
        <w:t>Si conferma un</w:t>
      </w:r>
      <w:r w:rsidR="00B4181F" w:rsidRPr="00696979">
        <w:rPr>
          <w:color w:val="auto"/>
        </w:rPr>
        <w:t>’</w:t>
      </w:r>
      <w:r w:rsidR="00E94BC6" w:rsidRPr="00696979">
        <w:rPr>
          <w:color w:val="auto"/>
        </w:rPr>
        <w:t xml:space="preserve">ulteriore </w:t>
      </w:r>
      <w:r w:rsidR="00B4181F" w:rsidRPr="00696979">
        <w:rPr>
          <w:color w:val="auto"/>
        </w:rPr>
        <w:t xml:space="preserve">riduzione </w:t>
      </w:r>
      <w:r w:rsidR="00DE2DDF" w:rsidRPr="00696979">
        <w:rPr>
          <w:color w:val="auto"/>
        </w:rPr>
        <w:t>de</w:t>
      </w:r>
      <w:r w:rsidR="00C76A43" w:rsidRPr="00696979">
        <w:rPr>
          <w:color w:val="auto"/>
        </w:rPr>
        <w:t>gli ingressi giornalieri in terapia intensiva</w:t>
      </w:r>
      <w:r w:rsidR="00451468" w:rsidRPr="00696979">
        <w:rPr>
          <w:color w:val="auto"/>
        </w:rPr>
        <w:t>– puntualizza Marco Mosti, Direttore Operativo della Fondazione GIMBE –</w:t>
      </w:r>
      <w:r w:rsidR="00443A0B" w:rsidRPr="00696979">
        <w:rPr>
          <w:color w:val="auto"/>
        </w:rPr>
        <w:t>la cui</w:t>
      </w:r>
      <w:r w:rsidR="00BD67DE" w:rsidRPr="00696979">
        <w:rPr>
          <w:color w:val="auto"/>
        </w:rPr>
        <w:t xml:space="preserve">media </w:t>
      </w:r>
      <w:r w:rsidR="00BD67DE" w:rsidRPr="00A02710">
        <w:rPr>
          <w:color w:val="auto"/>
        </w:rPr>
        <w:t xml:space="preserve">mobile a 7 giorni </w:t>
      </w:r>
      <w:r w:rsidR="00615C81" w:rsidRPr="00A02710">
        <w:rPr>
          <w:color w:val="auto"/>
        </w:rPr>
        <w:t xml:space="preserve">scende </w:t>
      </w:r>
      <w:r w:rsidR="004D49EC" w:rsidRPr="00A02710">
        <w:rPr>
          <w:color w:val="auto"/>
        </w:rPr>
        <w:t>a</w:t>
      </w:r>
      <w:r w:rsidR="00696979" w:rsidRPr="00A02710">
        <w:rPr>
          <w:color w:val="auto"/>
        </w:rPr>
        <w:t>43</w:t>
      </w:r>
      <w:r w:rsidR="00547F28" w:rsidRPr="00A02710">
        <w:rPr>
          <w:color w:val="auto"/>
        </w:rPr>
        <w:t xml:space="preserve">ingressi/die </w:t>
      </w:r>
      <w:r w:rsidR="004D49EC" w:rsidRPr="00A02710">
        <w:rPr>
          <w:color w:val="auto"/>
        </w:rPr>
        <w:t>ris</w:t>
      </w:r>
      <w:r w:rsidR="00127096" w:rsidRPr="00A02710">
        <w:rPr>
          <w:color w:val="auto"/>
        </w:rPr>
        <w:t xml:space="preserve">petto </w:t>
      </w:r>
      <w:r w:rsidR="00C34550" w:rsidRPr="00A02710">
        <w:rPr>
          <w:color w:val="auto"/>
        </w:rPr>
        <w:t xml:space="preserve">ai </w:t>
      </w:r>
      <w:r w:rsidR="00696979" w:rsidRPr="00A02710">
        <w:rPr>
          <w:color w:val="auto"/>
        </w:rPr>
        <w:t xml:space="preserve">54 </w:t>
      </w:r>
      <w:r w:rsidR="004D49EC" w:rsidRPr="00A02710">
        <w:rPr>
          <w:color w:val="auto"/>
        </w:rPr>
        <w:t>della settimana precedente</w:t>
      </w:r>
      <w:r w:rsidR="00D42AAE" w:rsidRPr="00A02710">
        <w:rPr>
          <w:color w:val="auto"/>
        </w:rPr>
        <w:t>»</w:t>
      </w:r>
      <w:r w:rsidR="00BD67DE" w:rsidRPr="00A02710">
        <w:rPr>
          <w:color w:val="auto"/>
        </w:rPr>
        <w:t xml:space="preserve"> (</w:t>
      </w:r>
      <w:r w:rsidR="00BD67DE" w:rsidRPr="00A02710">
        <w:rPr>
          <w:color w:val="auto"/>
          <w:highlight w:val="yellow"/>
        </w:rPr>
        <w:t>figura</w:t>
      </w:r>
      <w:r w:rsidR="00061647" w:rsidRPr="00A02710">
        <w:rPr>
          <w:color w:val="auto"/>
          <w:highlight w:val="yellow"/>
        </w:rPr>
        <w:t>9</w:t>
      </w:r>
      <w:r w:rsidR="00BD67DE" w:rsidRPr="00A02710">
        <w:rPr>
          <w:color w:val="auto"/>
        </w:rPr>
        <w:t>).</w:t>
      </w:r>
    </w:p>
    <w:p w:rsidR="00F41F65" w:rsidRPr="00A02710" w:rsidRDefault="00483722" w:rsidP="00483722">
      <w:pPr>
        <w:jc w:val="both"/>
        <w:rPr>
          <w:color w:val="auto"/>
        </w:rPr>
      </w:pPr>
      <w:r w:rsidRPr="00A02710">
        <w:rPr>
          <w:b/>
          <w:color w:val="auto"/>
        </w:rPr>
        <w:t xml:space="preserve">Decessi. </w:t>
      </w:r>
      <w:r w:rsidR="00F41F65" w:rsidRPr="00A02710">
        <w:rPr>
          <w:color w:val="auto"/>
        </w:rPr>
        <w:t xml:space="preserve">Diminuiscono </w:t>
      </w:r>
      <w:r w:rsidR="00376E88" w:rsidRPr="00A02710">
        <w:rPr>
          <w:color w:val="auto"/>
        </w:rPr>
        <w:t xml:space="preserve">ancora </w:t>
      </w:r>
      <w:r w:rsidR="00F41F65" w:rsidRPr="00A02710">
        <w:rPr>
          <w:color w:val="auto"/>
        </w:rPr>
        <w:t xml:space="preserve">i decessi: </w:t>
      </w:r>
      <w:r w:rsidR="00120F46" w:rsidRPr="00A02710">
        <w:rPr>
          <w:color w:val="auto"/>
        </w:rPr>
        <w:t>1.</w:t>
      </w:r>
      <w:r w:rsidR="00A02710" w:rsidRPr="00A02710">
        <w:rPr>
          <w:color w:val="auto"/>
        </w:rPr>
        <w:t>201</w:t>
      </w:r>
      <w:r w:rsidR="00120F46" w:rsidRPr="00A02710">
        <w:rPr>
          <w:color w:val="auto"/>
        </w:rPr>
        <w:t xml:space="preserve"> negli ultimi 7 giorni (di cui </w:t>
      </w:r>
      <w:r w:rsidR="00A02710" w:rsidRPr="00A02710">
        <w:rPr>
          <w:color w:val="auto"/>
        </w:rPr>
        <w:t>95</w:t>
      </w:r>
      <w:r w:rsidR="00120F46" w:rsidRPr="00A02710">
        <w:rPr>
          <w:color w:val="auto"/>
        </w:rPr>
        <w:t xml:space="preserve"> riferiti a periodi precedenti), con una media di </w:t>
      </w:r>
      <w:r w:rsidR="00A02710" w:rsidRPr="00A02710">
        <w:rPr>
          <w:color w:val="auto"/>
        </w:rPr>
        <w:t>172</w:t>
      </w:r>
      <w:r w:rsidR="00120F46" w:rsidRPr="00A02710">
        <w:rPr>
          <w:color w:val="auto"/>
        </w:rPr>
        <w:t xml:space="preserve"> al giorno rispetto ai </w:t>
      </w:r>
      <w:r w:rsidR="00A02710" w:rsidRPr="00A02710">
        <w:rPr>
          <w:color w:val="auto"/>
        </w:rPr>
        <w:t>213</w:t>
      </w:r>
      <w:r w:rsidR="00120F46" w:rsidRPr="00A02710">
        <w:rPr>
          <w:color w:val="auto"/>
        </w:rPr>
        <w:t xml:space="preserve"> della settimana precedente.</w:t>
      </w:r>
    </w:p>
    <w:p w:rsidR="003C0756" w:rsidRPr="003C0756" w:rsidRDefault="003C0756" w:rsidP="001B0254">
      <w:pPr>
        <w:jc w:val="both"/>
        <w:rPr>
          <w:color w:val="auto"/>
        </w:rPr>
      </w:pPr>
      <w:r w:rsidRPr="003C0756">
        <w:rPr>
          <w:b/>
          <w:color w:val="auto"/>
        </w:rPr>
        <w:t xml:space="preserve">Vaccini: somministrazioni. </w:t>
      </w:r>
      <w:r w:rsidRPr="003C0756">
        <w:rPr>
          <w:color w:val="auto"/>
        </w:rPr>
        <w:t>Al 9 m</w:t>
      </w:r>
      <w:r>
        <w:rPr>
          <w:color w:val="auto"/>
        </w:rPr>
        <w:t>arzo (aggiornamento ore 06.17) l’</w:t>
      </w:r>
      <w:r w:rsidRPr="003C0756">
        <w:rPr>
          <w:color w:val="auto"/>
        </w:rPr>
        <w:t xml:space="preserve">85,5% della popolazione (n. 50.658.027) ha ricevuto almeno una dose di vaccino (+19.150 rispetto </w:t>
      </w:r>
      <w:r>
        <w:rPr>
          <w:color w:val="auto"/>
        </w:rPr>
        <w:t>alla settimana precedente) e l’</w:t>
      </w:r>
      <w:r w:rsidRPr="003C0756">
        <w:rPr>
          <w:color w:val="auto"/>
        </w:rPr>
        <w:t>83,6% (n. 49.534.941) ha completato il ciclo vaccinale (+137.230 rispetto alla settimana precedente) (</w:t>
      </w:r>
      <w:r w:rsidRPr="003C0756">
        <w:rPr>
          <w:color w:val="auto"/>
          <w:highlight w:val="yellow"/>
        </w:rPr>
        <w:t>figura 10</w:t>
      </w:r>
      <w:r w:rsidRPr="003C0756">
        <w:rPr>
          <w:color w:val="auto"/>
        </w:rPr>
        <w:t xml:space="preserve">). </w:t>
      </w:r>
      <w:r w:rsidR="009A6947">
        <w:rPr>
          <w:color w:val="auto"/>
        </w:rPr>
        <w:t>Ancora i</w:t>
      </w:r>
      <w:r w:rsidRPr="003C0756">
        <w:rPr>
          <w:color w:val="auto"/>
        </w:rPr>
        <w:t xml:space="preserve">n calo nell’ultima settimana il numero di somministrazioni (n. 515.200), con una media mobile a 7 giorni di 73.600 somministrazioni/die: </w:t>
      </w:r>
      <w:r w:rsidR="009A6947">
        <w:rPr>
          <w:color w:val="auto"/>
        </w:rPr>
        <w:t xml:space="preserve">si riducono </w:t>
      </w:r>
      <w:r w:rsidRPr="003C0756">
        <w:rPr>
          <w:color w:val="auto"/>
        </w:rPr>
        <w:t>del 32,8% le terze dosi (n. 341.373) e del 24,5% i nuovi vaccinati (n. 29.474) (</w:t>
      </w:r>
      <w:r w:rsidRPr="003C0756">
        <w:rPr>
          <w:color w:val="auto"/>
          <w:highlight w:val="yellow"/>
        </w:rPr>
        <w:t>figura 11</w:t>
      </w:r>
      <w:r w:rsidRPr="003C0756">
        <w:rPr>
          <w:color w:val="auto"/>
        </w:rPr>
        <w:t>).</w:t>
      </w:r>
    </w:p>
    <w:p w:rsidR="003C0756" w:rsidRPr="003C0756" w:rsidRDefault="003C0756" w:rsidP="001B0254">
      <w:pPr>
        <w:jc w:val="both"/>
        <w:rPr>
          <w:rFonts w:cs="Calibri"/>
          <w:color w:val="auto"/>
        </w:rPr>
      </w:pPr>
      <w:r w:rsidRPr="003C0756">
        <w:rPr>
          <w:rFonts w:cs="Calibri"/>
          <w:b/>
          <w:color w:val="auto"/>
        </w:rPr>
        <w:t>Vaccini: coperture.</w:t>
      </w:r>
      <w:r w:rsidRPr="003C0756">
        <w:rPr>
          <w:rFonts w:cs="Calibri"/>
          <w:color w:val="auto"/>
        </w:rPr>
        <w:t xml:space="preserve"> Le coperture con almeno una dose di vaccino sono molto variabili nelle diverse fasce d’età (dal 99,3% </w:t>
      </w:r>
      <w:r>
        <w:rPr>
          <w:rFonts w:cs="Calibri"/>
          <w:color w:val="auto"/>
        </w:rPr>
        <w:t>deglio</w:t>
      </w:r>
      <w:r w:rsidRPr="003C0756">
        <w:rPr>
          <w:rFonts w:cs="Calibri"/>
          <w:color w:val="auto"/>
        </w:rPr>
        <w:t xml:space="preserve">ver80 al 37,1% della fascia 5-11), così come sul fronte dei richiami, che negli over 80 hanno raggiunto </w:t>
      </w:r>
      <w:r>
        <w:rPr>
          <w:rFonts w:cs="Calibri"/>
          <w:color w:val="auto"/>
        </w:rPr>
        <w:t>l’88,5%, nella fascia 70-79 l’</w:t>
      </w:r>
      <w:r w:rsidRPr="003C0756">
        <w:rPr>
          <w:rFonts w:cs="Calibri"/>
          <w:color w:val="auto"/>
        </w:rPr>
        <w:t xml:space="preserve">87,2% e in quella 60-69 anni </w:t>
      </w:r>
      <w:r>
        <w:rPr>
          <w:rFonts w:cs="Calibri"/>
          <w:color w:val="auto"/>
        </w:rPr>
        <w:t>l’</w:t>
      </w:r>
      <w:r w:rsidRPr="003C0756">
        <w:rPr>
          <w:rFonts w:cs="Calibri"/>
          <w:color w:val="auto"/>
        </w:rPr>
        <w:t>83,7% (</w:t>
      </w:r>
      <w:r w:rsidRPr="003C0756">
        <w:rPr>
          <w:rFonts w:cs="Calibri"/>
          <w:color w:val="auto"/>
          <w:highlight w:val="yellow"/>
        </w:rPr>
        <w:t>figura 12</w:t>
      </w:r>
      <w:r w:rsidRPr="003C0756">
        <w:rPr>
          <w:rFonts w:cs="Calibri"/>
          <w:color w:val="auto"/>
        </w:rPr>
        <w:t>).</w:t>
      </w:r>
    </w:p>
    <w:p w:rsidR="001C167C" w:rsidRDefault="00B672EA" w:rsidP="00211923">
      <w:pPr>
        <w:spacing w:line="276" w:lineRule="auto"/>
        <w:jc w:val="both"/>
        <w:rPr>
          <w:color w:val="auto"/>
        </w:rPr>
      </w:pPr>
      <w:r w:rsidRPr="00574EAE">
        <w:rPr>
          <w:b/>
          <w:color w:val="auto"/>
        </w:rPr>
        <w:t xml:space="preserve">Vaccini: </w:t>
      </w:r>
      <w:r w:rsidR="003E293F" w:rsidRPr="00574EAE">
        <w:rPr>
          <w:b/>
          <w:color w:val="auto"/>
        </w:rPr>
        <w:t>nuovi vaccinati</w:t>
      </w:r>
      <w:r w:rsidRPr="00574EAE">
        <w:rPr>
          <w:b/>
          <w:color w:val="auto"/>
        </w:rPr>
        <w:t>.</w:t>
      </w:r>
      <w:r w:rsidR="00554F5B" w:rsidRPr="00574EAE">
        <w:rPr>
          <w:color w:val="auto"/>
        </w:rPr>
        <w:t>N</w:t>
      </w:r>
      <w:r w:rsidR="00F75D8A" w:rsidRPr="00574EAE">
        <w:rPr>
          <w:color w:val="auto"/>
        </w:rPr>
        <w:t>el</w:t>
      </w:r>
      <w:r w:rsidR="00554F5B" w:rsidRPr="00574EAE">
        <w:rPr>
          <w:color w:val="auto"/>
        </w:rPr>
        <w:t xml:space="preserve">lasettimana </w:t>
      </w:r>
      <w:r w:rsidR="003C0756" w:rsidRPr="00574EAE">
        <w:rPr>
          <w:color w:val="auto"/>
        </w:rPr>
        <w:t>2-8</w:t>
      </w:r>
      <w:r w:rsidR="002A2549" w:rsidRPr="00574EAE">
        <w:rPr>
          <w:color w:val="auto"/>
        </w:rPr>
        <w:t xml:space="preserve"> marzo</w:t>
      </w:r>
      <w:r w:rsidR="00E3038F" w:rsidRPr="00574EAE">
        <w:rPr>
          <w:color w:val="auto"/>
        </w:rPr>
        <w:t xml:space="preserve">si </w:t>
      </w:r>
      <w:r w:rsidR="008927DE" w:rsidRPr="00574EAE">
        <w:rPr>
          <w:color w:val="auto"/>
        </w:rPr>
        <w:t xml:space="preserve">registra un </w:t>
      </w:r>
      <w:r w:rsidR="00A61C84" w:rsidRPr="00574EAE">
        <w:rPr>
          <w:color w:val="auto"/>
        </w:rPr>
        <w:t xml:space="preserve">ulteriore calo </w:t>
      </w:r>
      <w:r w:rsidR="000C22FE" w:rsidRPr="00574EAE">
        <w:rPr>
          <w:color w:val="auto"/>
        </w:rPr>
        <w:t xml:space="preserve">dei nuovi vaccinati: </w:t>
      </w:r>
      <w:r w:rsidR="003C0756" w:rsidRPr="00574EAE">
        <w:rPr>
          <w:color w:val="auto"/>
        </w:rPr>
        <w:t>29.474</w:t>
      </w:r>
      <w:r w:rsidR="008574A0" w:rsidRPr="00574EAE">
        <w:rPr>
          <w:color w:val="auto"/>
        </w:rPr>
        <w:t xml:space="preserve"> rispetto ai </w:t>
      </w:r>
      <w:r w:rsidR="003C0756" w:rsidRPr="00574EAE">
        <w:rPr>
          <w:color w:val="auto"/>
        </w:rPr>
        <w:t xml:space="preserve">39.036 </w:t>
      </w:r>
      <w:r w:rsidR="00CB3BD4" w:rsidRPr="00574EAE">
        <w:rPr>
          <w:color w:val="auto"/>
        </w:rPr>
        <w:t>della settimana precedente</w:t>
      </w:r>
      <w:r w:rsidR="009D0C36" w:rsidRPr="00574EAE">
        <w:rPr>
          <w:color w:val="auto"/>
        </w:rPr>
        <w:t xml:space="preserve"> (-</w:t>
      </w:r>
      <w:r w:rsidR="003C0756" w:rsidRPr="00574EAE">
        <w:rPr>
          <w:color w:val="auto"/>
        </w:rPr>
        <w:t>24,5</w:t>
      </w:r>
      <w:r w:rsidR="009D0C36" w:rsidRPr="00574EAE">
        <w:rPr>
          <w:color w:val="auto"/>
        </w:rPr>
        <w:t>%)</w:t>
      </w:r>
      <w:r w:rsidR="00470CE3" w:rsidRPr="00574EAE">
        <w:rPr>
          <w:color w:val="auto"/>
        </w:rPr>
        <w:t xml:space="preserve">. </w:t>
      </w:r>
      <w:r w:rsidR="008927DE" w:rsidRPr="00574EAE">
        <w:rPr>
          <w:color w:val="auto"/>
        </w:rPr>
        <w:t xml:space="preserve">Di questi </w:t>
      </w:r>
      <w:r w:rsidR="007C7E75" w:rsidRPr="00574EAE">
        <w:rPr>
          <w:color w:val="auto"/>
        </w:rPr>
        <w:t xml:space="preserve">il </w:t>
      </w:r>
      <w:r w:rsidR="00574EAE" w:rsidRPr="00574EAE">
        <w:rPr>
          <w:color w:val="auto"/>
        </w:rPr>
        <w:t>17,9</w:t>
      </w:r>
      <w:r w:rsidR="007C7E75" w:rsidRPr="00574EAE">
        <w:rPr>
          <w:color w:val="auto"/>
        </w:rPr>
        <w:t>%</w:t>
      </w:r>
      <w:r w:rsidR="008927DE" w:rsidRPr="00574EAE">
        <w:rPr>
          <w:color w:val="auto"/>
        </w:rPr>
        <w:t xml:space="preserve"> è </w:t>
      </w:r>
      <w:r w:rsidR="00CD534A" w:rsidRPr="00574EAE">
        <w:rPr>
          <w:color w:val="auto"/>
        </w:rPr>
        <w:t xml:space="preserve">rappresentato </w:t>
      </w:r>
      <w:r w:rsidR="008927DE" w:rsidRPr="00574EAE">
        <w:rPr>
          <w:color w:val="auto"/>
        </w:rPr>
        <w:t xml:space="preserve">dalla </w:t>
      </w:r>
      <w:r w:rsidR="00E129D4" w:rsidRPr="00574EAE">
        <w:rPr>
          <w:color w:val="auto"/>
        </w:rPr>
        <w:t>fascia 5-11</w:t>
      </w:r>
      <w:r w:rsidR="0068557B" w:rsidRPr="00574EAE">
        <w:rPr>
          <w:color w:val="auto"/>
        </w:rPr>
        <w:t xml:space="preserve">: </w:t>
      </w:r>
      <w:r w:rsidR="00574EAE" w:rsidRPr="00574EAE">
        <w:rPr>
          <w:color w:val="auto"/>
        </w:rPr>
        <w:t>5.290</w:t>
      </w:r>
      <w:r w:rsidR="0068557B" w:rsidRPr="00574EAE">
        <w:rPr>
          <w:color w:val="auto"/>
        </w:rPr>
        <w:t xml:space="preserve">, </w:t>
      </w:r>
      <w:r w:rsidR="005724C2">
        <w:rPr>
          <w:color w:val="auto"/>
        </w:rPr>
        <w:t>un numero dimezzato</w:t>
      </w:r>
      <w:r w:rsidR="007C7E75" w:rsidRPr="00574EAE">
        <w:rPr>
          <w:color w:val="auto"/>
        </w:rPr>
        <w:t xml:space="preserve"> rispetto alla settimana precedente</w:t>
      </w:r>
      <w:r w:rsidR="00A52BDE" w:rsidRPr="00574EAE">
        <w:rPr>
          <w:color w:val="auto"/>
        </w:rPr>
        <w:t xml:space="preserve"> (</w:t>
      </w:r>
      <w:r w:rsidR="00431177" w:rsidRPr="00574EAE">
        <w:rPr>
          <w:color w:val="auto"/>
        </w:rPr>
        <w:t>-</w:t>
      </w:r>
      <w:r w:rsidR="00574EAE" w:rsidRPr="00574EAE">
        <w:rPr>
          <w:color w:val="auto"/>
        </w:rPr>
        <w:t>50,1</w:t>
      </w:r>
      <w:r w:rsidR="00A52BDE" w:rsidRPr="00574EAE">
        <w:rPr>
          <w:color w:val="auto"/>
        </w:rPr>
        <w:t>%)</w:t>
      </w:r>
      <w:r w:rsidR="007F4EC6" w:rsidRPr="00574EAE">
        <w:rPr>
          <w:color w:val="auto"/>
        </w:rPr>
        <w:t>.</w:t>
      </w:r>
      <w:r w:rsidR="00880B59" w:rsidRPr="00574EAE">
        <w:rPr>
          <w:color w:val="auto"/>
        </w:rPr>
        <w:t>Nonostante l’</w:t>
      </w:r>
      <w:r w:rsidR="00E131AB" w:rsidRPr="00574EAE">
        <w:rPr>
          <w:color w:val="auto"/>
        </w:rPr>
        <w:t>obbligo vaccinale e</w:t>
      </w:r>
      <w:r w:rsidR="00880B59" w:rsidRPr="00574EAE">
        <w:rPr>
          <w:color w:val="auto"/>
        </w:rPr>
        <w:t xml:space="preserve">l’obbligo di green pass rafforzato sui luoghi di lavoro, tra </w:t>
      </w:r>
      <w:r w:rsidR="00F3347A" w:rsidRPr="00574EAE">
        <w:rPr>
          <w:color w:val="auto"/>
        </w:rPr>
        <w:t xml:space="preserve">gli over 50 </w:t>
      </w:r>
      <w:r w:rsidR="00801454" w:rsidRPr="00574EAE">
        <w:rPr>
          <w:color w:val="auto"/>
        </w:rPr>
        <w:t>i</w:t>
      </w:r>
      <w:r w:rsidR="0084641B" w:rsidRPr="00574EAE">
        <w:rPr>
          <w:color w:val="auto"/>
        </w:rPr>
        <w:t>l numero di</w:t>
      </w:r>
      <w:r w:rsidR="00801454" w:rsidRPr="00574EAE">
        <w:rPr>
          <w:color w:val="auto"/>
        </w:rPr>
        <w:t xml:space="preserve"> nuovi vaccinati </w:t>
      </w:r>
      <w:r w:rsidR="0084641B" w:rsidRPr="00574EAE">
        <w:rPr>
          <w:color w:val="auto"/>
        </w:rPr>
        <w:t>scende</w:t>
      </w:r>
      <w:r w:rsidR="001C3B3C">
        <w:rPr>
          <w:color w:val="auto"/>
        </w:rPr>
        <w:t>ancora</w:t>
      </w:r>
      <w:r w:rsidR="00F3347A" w:rsidRPr="00574EAE">
        <w:rPr>
          <w:color w:val="auto"/>
        </w:rPr>
        <w:t xml:space="preserve">, attestandosi a quota </w:t>
      </w:r>
      <w:r w:rsidR="00574EAE" w:rsidRPr="00574EAE">
        <w:rPr>
          <w:color w:val="auto"/>
        </w:rPr>
        <w:t>9.682</w:t>
      </w:r>
      <w:r w:rsidR="00211923" w:rsidRPr="00574EAE">
        <w:rPr>
          <w:color w:val="auto"/>
        </w:rPr>
        <w:t>(-</w:t>
      </w:r>
      <w:r w:rsidR="00574EAE" w:rsidRPr="00574EAE">
        <w:rPr>
          <w:color w:val="auto"/>
        </w:rPr>
        <w:t>11</w:t>
      </w:r>
      <w:r w:rsidR="002202C1" w:rsidRPr="00574EAE">
        <w:rPr>
          <w:color w:val="auto"/>
        </w:rPr>
        <w:t>,5</w:t>
      </w:r>
      <w:r w:rsidR="00431177" w:rsidRPr="00574EAE">
        <w:rPr>
          <w:color w:val="auto"/>
        </w:rPr>
        <w:t>% ris</w:t>
      </w:r>
      <w:r w:rsidR="007F4EC6" w:rsidRPr="00574EAE">
        <w:rPr>
          <w:color w:val="auto"/>
        </w:rPr>
        <w:t>petto alla settimana precedente</w:t>
      </w:r>
      <w:r w:rsidR="00F20059" w:rsidRPr="00574EAE">
        <w:rPr>
          <w:color w:val="auto"/>
        </w:rPr>
        <w:t>)</w:t>
      </w:r>
      <w:r w:rsidR="008F04B0" w:rsidRPr="00574EAE">
        <w:rPr>
          <w:color w:val="auto"/>
        </w:rPr>
        <w:t>(</w:t>
      </w:r>
      <w:r w:rsidR="003D430C" w:rsidRPr="00574EAE">
        <w:rPr>
          <w:color w:val="auto"/>
          <w:highlight w:val="yellow"/>
        </w:rPr>
        <w:t>figure 13</w:t>
      </w:r>
      <w:r w:rsidR="00D022C4" w:rsidRPr="00574EAE">
        <w:rPr>
          <w:color w:val="auto"/>
          <w:highlight w:val="yellow"/>
        </w:rPr>
        <w:t xml:space="preserve"> e </w:t>
      </w:r>
      <w:r w:rsidR="008F04B0" w:rsidRPr="00574EAE">
        <w:rPr>
          <w:color w:val="auto"/>
          <w:highlight w:val="yellow"/>
        </w:rPr>
        <w:t>1</w:t>
      </w:r>
      <w:r w:rsidR="00061647" w:rsidRPr="00574EAE">
        <w:rPr>
          <w:color w:val="auto"/>
          <w:highlight w:val="yellow"/>
        </w:rPr>
        <w:t>4</w:t>
      </w:r>
      <w:r w:rsidR="008F04B0" w:rsidRPr="00574EAE">
        <w:rPr>
          <w:color w:val="auto"/>
        </w:rPr>
        <w:t>)</w:t>
      </w:r>
      <w:r w:rsidR="001C167C" w:rsidRPr="00574EAE">
        <w:rPr>
          <w:color w:val="auto"/>
        </w:rPr>
        <w:t>.</w:t>
      </w:r>
    </w:p>
    <w:p w:rsidR="00FA4320" w:rsidRDefault="00FA4320" w:rsidP="00211923">
      <w:pPr>
        <w:spacing w:line="276" w:lineRule="auto"/>
        <w:jc w:val="both"/>
        <w:rPr>
          <w:color w:val="auto"/>
        </w:rPr>
      </w:pPr>
      <w:r w:rsidRPr="00FA4320">
        <w:rPr>
          <w:b/>
          <w:color w:val="auto"/>
        </w:rPr>
        <w:t>Vaccini: Novavax.</w:t>
      </w:r>
      <w:r w:rsidR="005200F6">
        <w:rPr>
          <w:color w:val="auto"/>
        </w:rPr>
        <w:t xml:space="preserve">Dal </w:t>
      </w:r>
      <w:r>
        <w:rPr>
          <w:color w:val="auto"/>
        </w:rPr>
        <w:t>28 febbraio</w:t>
      </w:r>
      <w:r w:rsidRPr="00FA4320">
        <w:rPr>
          <w:color w:val="auto"/>
        </w:rPr>
        <w:t xml:space="preserve"> sono </w:t>
      </w:r>
      <w:r w:rsidR="005200F6">
        <w:rPr>
          <w:color w:val="auto"/>
        </w:rPr>
        <w:t xml:space="preserve">state somministrate </w:t>
      </w:r>
      <w:r w:rsidRPr="00FA4320">
        <w:rPr>
          <w:color w:val="auto"/>
        </w:rPr>
        <w:t>1</w:t>
      </w:r>
      <w:r>
        <w:rPr>
          <w:color w:val="auto"/>
        </w:rPr>
        <w:t>1</w:t>
      </w:r>
      <w:r w:rsidRPr="00FA4320">
        <w:rPr>
          <w:color w:val="auto"/>
        </w:rPr>
        <w:t>.</w:t>
      </w:r>
      <w:r>
        <w:rPr>
          <w:color w:val="auto"/>
        </w:rPr>
        <w:t>595</w:t>
      </w:r>
      <w:r w:rsidRPr="00FA4320">
        <w:rPr>
          <w:color w:val="auto"/>
        </w:rPr>
        <w:t xml:space="preserve"> dosi</w:t>
      </w:r>
      <w:r w:rsidR="005200F6" w:rsidRPr="00FA4320">
        <w:rPr>
          <w:color w:val="auto"/>
        </w:rPr>
        <w:t>vaccino Novavax</w:t>
      </w:r>
      <w:r w:rsidR="005200F6">
        <w:rPr>
          <w:color w:val="auto"/>
        </w:rPr>
        <w:t>,</w:t>
      </w:r>
      <w:r w:rsidRPr="00FA4320">
        <w:rPr>
          <w:color w:val="auto"/>
        </w:rPr>
        <w:t xml:space="preserve"> di cui </w:t>
      </w:r>
      <w:r>
        <w:rPr>
          <w:color w:val="auto"/>
        </w:rPr>
        <w:t>il 59,2%</w:t>
      </w:r>
      <w:r w:rsidRPr="00FA4320">
        <w:rPr>
          <w:color w:val="auto"/>
        </w:rPr>
        <w:t xml:space="preserve"> in persone over 50, la </w:t>
      </w:r>
      <w:r w:rsidR="005200F6">
        <w:rPr>
          <w:color w:val="auto"/>
        </w:rPr>
        <w:t>maggior parte</w:t>
      </w:r>
      <w:r w:rsidR="005724C2">
        <w:rPr>
          <w:color w:val="auto"/>
        </w:rPr>
        <w:t xml:space="preserve"> delle quali</w:t>
      </w:r>
      <w:r w:rsidR="005200F6">
        <w:rPr>
          <w:color w:val="auto"/>
        </w:rPr>
        <w:t xml:space="preserve"> in età lavorativa</w:t>
      </w:r>
      <w:r w:rsidRPr="00FA4320">
        <w:rPr>
          <w:color w:val="auto"/>
        </w:rPr>
        <w:t xml:space="preserve">. </w:t>
      </w:r>
      <w:r w:rsidRPr="00696979">
        <w:rPr>
          <w:color w:val="auto"/>
        </w:rPr>
        <w:t>«</w:t>
      </w:r>
      <w:r w:rsidR="005724C2">
        <w:rPr>
          <w:color w:val="auto"/>
        </w:rPr>
        <w:t>La</w:t>
      </w:r>
      <w:r w:rsidR="005200F6">
        <w:rPr>
          <w:color w:val="auto"/>
        </w:rPr>
        <w:t xml:space="preserve"> speranza </w:t>
      </w:r>
      <w:r>
        <w:rPr>
          <w:color w:val="auto"/>
        </w:rPr>
        <w:t>– commenta Cartabellotta –</w:t>
      </w:r>
      <w:r w:rsidRPr="00FA4320">
        <w:rPr>
          <w:color w:val="auto"/>
        </w:rPr>
        <w:t xml:space="preserve">che </w:t>
      </w:r>
      <w:r w:rsidRPr="00FA4320">
        <w:rPr>
          <w:color w:val="auto"/>
        </w:rPr>
        <w:lastRenderedPageBreak/>
        <w:t xml:space="preserve">questo </w:t>
      </w:r>
      <w:r w:rsidR="005200F6">
        <w:rPr>
          <w:color w:val="auto"/>
        </w:rPr>
        <w:t>vaccino</w:t>
      </w:r>
      <w:r w:rsidRPr="00FA4320">
        <w:rPr>
          <w:color w:val="auto"/>
        </w:rPr>
        <w:t>, basa</w:t>
      </w:r>
      <w:r w:rsidR="00D6037C">
        <w:rPr>
          <w:color w:val="auto"/>
        </w:rPr>
        <w:t>to</w:t>
      </w:r>
      <w:r w:rsidRPr="00FA4320">
        <w:rPr>
          <w:color w:val="auto"/>
        </w:rPr>
        <w:t xml:space="preserve"> su una tecnologia più tradizionale rispetto agli innovativi vaccini a mRNA, </w:t>
      </w:r>
      <w:r w:rsidR="005200F6">
        <w:rPr>
          <w:color w:val="auto"/>
        </w:rPr>
        <w:t xml:space="preserve">potesse </w:t>
      </w:r>
      <w:r w:rsidRPr="00FA4320">
        <w:rPr>
          <w:color w:val="auto"/>
        </w:rPr>
        <w:t xml:space="preserve">convincere </w:t>
      </w:r>
      <w:r w:rsidR="005200F6">
        <w:rPr>
          <w:color w:val="auto"/>
        </w:rPr>
        <w:t>gli indecisi</w:t>
      </w:r>
      <w:r w:rsidR="005724C2">
        <w:rPr>
          <w:color w:val="auto"/>
        </w:rPr>
        <w:t>è stata disat</w:t>
      </w:r>
      <w:r w:rsidR="00D6037C">
        <w:rPr>
          <w:color w:val="auto"/>
        </w:rPr>
        <w:t xml:space="preserve">tesa. Purtroppo, </w:t>
      </w:r>
      <w:r w:rsidR="00A3302D">
        <w:rPr>
          <w:color w:val="auto"/>
        </w:rPr>
        <w:t xml:space="preserve">sul fronte dei nuovi vaccinati </w:t>
      </w:r>
      <w:r w:rsidR="005724C2">
        <w:rPr>
          <w:color w:val="auto"/>
        </w:rPr>
        <w:t>nessun</w:t>
      </w:r>
      <w:r w:rsidR="00D6037C">
        <w:rPr>
          <w:color w:val="auto"/>
        </w:rPr>
        <w:t xml:space="preserve"> boom</w:t>
      </w:r>
      <w:r w:rsidRPr="00A02710">
        <w:rPr>
          <w:color w:val="auto"/>
        </w:rPr>
        <w:t>»</w:t>
      </w:r>
      <w:r w:rsidRPr="00FA4320">
        <w:rPr>
          <w:color w:val="auto"/>
        </w:rPr>
        <w:t>.</w:t>
      </w:r>
    </w:p>
    <w:p w:rsidR="00574EAE" w:rsidRPr="000C2BD2" w:rsidRDefault="00403151" w:rsidP="00403151">
      <w:pPr>
        <w:spacing w:line="276" w:lineRule="auto"/>
        <w:jc w:val="center"/>
        <w:rPr>
          <w:color w:val="FF0000"/>
        </w:rPr>
      </w:pPr>
      <w:r>
        <w:rPr>
          <w:noProof/>
          <w:color w:val="FF0000"/>
        </w:rPr>
        <w:drawing>
          <wp:inline distT="0" distB="0" distL="0" distR="0">
            <wp:extent cx="5760000" cy="2875787"/>
            <wp:effectExtent l="0" t="0" r="0" b="127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2875787"/>
                    </a:xfrm>
                    <a:prstGeom prst="rect">
                      <a:avLst/>
                    </a:prstGeom>
                    <a:noFill/>
                  </pic:spPr>
                </pic:pic>
              </a:graphicData>
            </a:graphic>
          </wp:inline>
        </w:drawing>
      </w:r>
    </w:p>
    <w:p w:rsidR="00B667E8" w:rsidRPr="00574EAE" w:rsidRDefault="006C515D" w:rsidP="000C2BD2">
      <w:pPr>
        <w:jc w:val="both"/>
        <w:rPr>
          <w:rFonts w:eastAsia="Calibri" w:cs="Calibri"/>
          <w:iCs/>
          <w:noProof/>
          <w:color w:val="auto"/>
          <w:u w:color="0563C1"/>
        </w:rPr>
      </w:pPr>
      <w:r w:rsidRPr="00574EAE">
        <w:rPr>
          <w:b/>
          <w:color w:val="auto"/>
        </w:rPr>
        <w:t>Vaccini: persone non vaccinate</w:t>
      </w:r>
      <w:r w:rsidRPr="00574EAE">
        <w:rPr>
          <w:color w:val="auto"/>
        </w:rPr>
        <w:t xml:space="preserve">. Al </w:t>
      </w:r>
      <w:r w:rsidR="00574EAE" w:rsidRPr="00574EAE">
        <w:rPr>
          <w:color w:val="auto"/>
        </w:rPr>
        <w:t>9</w:t>
      </w:r>
      <w:r w:rsidRPr="00574EAE">
        <w:rPr>
          <w:color w:val="auto"/>
        </w:rPr>
        <w:t xml:space="preserve"> marzo sono 7,</w:t>
      </w:r>
      <w:r w:rsidR="00574EAE" w:rsidRPr="00574EAE">
        <w:rPr>
          <w:color w:val="auto"/>
        </w:rPr>
        <w:t>01</w:t>
      </w:r>
      <w:r w:rsidRPr="00574EAE">
        <w:rPr>
          <w:color w:val="auto"/>
        </w:rPr>
        <w:t xml:space="preserve"> milioni le persone che non hanno ricevuto nemmeno una dose di vaccino, di cui 2,</w:t>
      </w:r>
      <w:r w:rsidR="00574EAE" w:rsidRPr="00574EAE">
        <w:rPr>
          <w:color w:val="auto"/>
        </w:rPr>
        <w:t>34</w:t>
      </w:r>
      <w:r w:rsidRPr="00574EAE">
        <w:rPr>
          <w:color w:val="auto"/>
        </w:rPr>
        <w:t xml:space="preserve"> milioni guarite da COVID-19 da meno di 180 giorni e pertanto temporaneamente protette (</w:t>
      </w:r>
      <w:r w:rsidRPr="00574EAE">
        <w:rPr>
          <w:color w:val="auto"/>
          <w:highlight w:val="yellow"/>
        </w:rPr>
        <w:t xml:space="preserve">figura </w:t>
      </w:r>
      <w:r w:rsidR="00D022C4" w:rsidRPr="00574EAE">
        <w:rPr>
          <w:color w:val="auto"/>
          <w:highlight w:val="yellow"/>
        </w:rPr>
        <w:t>15</w:t>
      </w:r>
      <w:r w:rsidR="006B7129" w:rsidRPr="00574EAE">
        <w:rPr>
          <w:color w:val="auto"/>
        </w:rPr>
        <w:t>): l</w:t>
      </w:r>
      <w:r w:rsidRPr="00574EAE">
        <w:rPr>
          <w:color w:val="auto"/>
        </w:rPr>
        <w:t>e persone attualmente vaccinabili sono dunque circa 4,</w:t>
      </w:r>
      <w:r w:rsidR="00574EAE" w:rsidRPr="00574EAE">
        <w:rPr>
          <w:color w:val="auto"/>
        </w:rPr>
        <w:t>67</w:t>
      </w:r>
      <w:r w:rsidRPr="00574EAE">
        <w:rPr>
          <w:color w:val="auto"/>
        </w:rPr>
        <w:t xml:space="preserve"> milioni, un dato che non tiene conto delle esenzioni di cui non si conosce il numero esatto.</w:t>
      </w:r>
    </w:p>
    <w:p w:rsidR="00574EAE" w:rsidRPr="00574EAE" w:rsidRDefault="00574EAE" w:rsidP="00D304E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574EAE">
        <w:rPr>
          <w:b/>
          <w:color w:val="auto"/>
        </w:rPr>
        <w:t>Vaccini: fascia 5-11 anni.</w:t>
      </w:r>
      <w:r w:rsidRPr="00574EAE">
        <w:rPr>
          <w:color w:val="auto"/>
        </w:rPr>
        <w:t xml:space="preserve"> Al 9 marzo (aggiornamento ore 06.17) nella fascia 5-11 anni sono state somministrate 2.373.493 dosi: 1.362.161 hanno ricevuto almeno 1 dose di vaccino (di cui 1.186.667 hanno completato il ciclo vaccinale), con un tasso di copertura nazionale che si attesta al 37,1% con nette differenze regionali (dal 20,1% della Prov</w:t>
      </w:r>
      <w:r w:rsidR="005724C2">
        <w:rPr>
          <w:color w:val="auto"/>
        </w:rPr>
        <w:t>incia</w:t>
      </w:r>
      <w:r w:rsidR="005724C2" w:rsidRPr="00574EAE">
        <w:rPr>
          <w:color w:val="auto"/>
        </w:rPr>
        <w:t xml:space="preserve"> Au</w:t>
      </w:r>
      <w:r w:rsidR="005724C2">
        <w:rPr>
          <w:color w:val="auto"/>
        </w:rPr>
        <w:t>tonoma di</w:t>
      </w:r>
      <w:r w:rsidRPr="00574EAE">
        <w:rPr>
          <w:color w:val="auto"/>
        </w:rPr>
        <w:t xml:space="preserve"> Bolzano al 53,5% della Puglia) (</w:t>
      </w:r>
      <w:r w:rsidRPr="00F519BE">
        <w:rPr>
          <w:color w:val="auto"/>
          <w:highlight w:val="yellow"/>
        </w:rPr>
        <w:t>figura 16</w:t>
      </w:r>
      <w:r w:rsidRPr="00574EAE">
        <w:rPr>
          <w:color w:val="auto"/>
        </w:rPr>
        <w:t>).</w:t>
      </w:r>
    </w:p>
    <w:p w:rsidR="00574EAE" w:rsidRPr="00574EAE" w:rsidRDefault="00574EAE" w:rsidP="00617AD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574EAE">
        <w:rPr>
          <w:b/>
          <w:color w:val="auto"/>
        </w:rPr>
        <w:t>Vaccini: terza dose.</w:t>
      </w:r>
      <w:r w:rsidRPr="00574EAE">
        <w:rPr>
          <w:color w:val="auto"/>
        </w:rPr>
        <w:t xml:space="preserve"> Al 9 marzo (aggiornamento ore 06.17) sono state somministrate 37.938.907 terze dosi con una media mobile a 7 giorni di 48.768 somministrazioni</w:t>
      </w:r>
      <w:r w:rsidR="00FA4320">
        <w:rPr>
          <w:color w:val="auto"/>
        </w:rPr>
        <w:t>/die</w:t>
      </w:r>
      <w:r w:rsidRPr="00574EAE">
        <w:rPr>
          <w:color w:val="auto"/>
        </w:rPr>
        <w:t xml:space="preserve">. In base alla </w:t>
      </w:r>
      <w:hyperlink r:id="rId9" w:history="1">
        <w:r w:rsidRPr="00574EAE">
          <w:rPr>
            <w:rStyle w:val="Collegamentoipertestuale"/>
            <w:color w:val="auto"/>
          </w:rPr>
          <w:t>platea ufficiale</w:t>
        </w:r>
      </w:hyperlink>
      <w:r w:rsidRPr="00574EAE">
        <w:rPr>
          <w:color w:val="auto"/>
        </w:rPr>
        <w:t xml:space="preserve"> (n. 45.820.994), aggiornata al 4 marzo, il tasso di copertura nazionale per le terze dosi è del</w:t>
      </w:r>
      <w:r w:rsidR="00FA4320">
        <w:rPr>
          <w:color w:val="auto"/>
        </w:rPr>
        <w:t>l’</w:t>
      </w:r>
      <w:r w:rsidRPr="00574EAE">
        <w:rPr>
          <w:color w:val="auto"/>
        </w:rPr>
        <w:t>83% con nette differenze regionali: dal 77% della Sicilia al</w:t>
      </w:r>
      <w:r w:rsidR="00FA4320">
        <w:rPr>
          <w:color w:val="auto"/>
        </w:rPr>
        <w:t>l’</w:t>
      </w:r>
      <w:r w:rsidRPr="00574EAE">
        <w:rPr>
          <w:color w:val="auto"/>
        </w:rPr>
        <w:t>86,7% della Valle D'Aosta (</w:t>
      </w:r>
      <w:r w:rsidRPr="00574EAE">
        <w:rPr>
          <w:color w:val="auto"/>
          <w:highlight w:val="yellow"/>
        </w:rPr>
        <w:t>figura 17</w:t>
      </w:r>
      <w:r w:rsidRPr="00574EAE">
        <w:rPr>
          <w:color w:val="auto"/>
        </w:rPr>
        <w:t>). Delle 7.882.087 persone che ancora non hanno ricevuto la dose</w:t>
      </w:r>
      <w:r w:rsidR="008D799E" w:rsidRPr="00D6037C">
        <w:rPr>
          <w:i/>
          <w:color w:val="auto"/>
        </w:rPr>
        <w:t>booster</w:t>
      </w:r>
      <w:r w:rsidRPr="00574EAE">
        <w:rPr>
          <w:color w:val="auto"/>
        </w:rPr>
        <w:t xml:space="preserve">, più di 2,8 milioni </w:t>
      </w:r>
      <w:r w:rsidR="00FA4320">
        <w:rPr>
          <w:color w:val="auto"/>
        </w:rPr>
        <w:t>potrebbero</w:t>
      </w:r>
      <w:r w:rsidRPr="00574EAE">
        <w:rPr>
          <w:color w:val="auto"/>
        </w:rPr>
        <w:t>riceverla subito, mentre</w:t>
      </w:r>
      <w:r w:rsidR="008D799E">
        <w:rPr>
          <w:color w:val="auto"/>
        </w:rPr>
        <w:t xml:space="preserve">gli </w:t>
      </w:r>
      <w:r w:rsidRPr="00574EAE">
        <w:rPr>
          <w:color w:val="auto"/>
        </w:rPr>
        <w:t xml:space="preserve">oltre 4,5 milioni </w:t>
      </w:r>
      <w:r w:rsidR="008D799E" w:rsidRPr="00574EAE">
        <w:rPr>
          <w:color w:val="auto"/>
        </w:rPr>
        <w:t>guarit</w:t>
      </w:r>
      <w:r w:rsidR="008D799E">
        <w:rPr>
          <w:color w:val="auto"/>
        </w:rPr>
        <w:t>i</w:t>
      </w:r>
      <w:r w:rsidRPr="00574EAE">
        <w:rPr>
          <w:color w:val="auto"/>
        </w:rPr>
        <w:t xml:space="preserve">da meno di 4 mesi non sono </w:t>
      </w:r>
      <w:r w:rsidR="008D799E" w:rsidRPr="00574EAE">
        <w:rPr>
          <w:color w:val="auto"/>
        </w:rPr>
        <w:t>candidat</w:t>
      </w:r>
      <w:r w:rsidR="008D799E">
        <w:rPr>
          <w:color w:val="auto"/>
        </w:rPr>
        <w:t>i</w:t>
      </w:r>
      <w:r w:rsidRPr="00574EAE">
        <w:rPr>
          <w:color w:val="auto"/>
        </w:rPr>
        <w:t>a riceverla nell’immediato.</w:t>
      </w:r>
    </w:p>
    <w:p w:rsidR="00574EAE" w:rsidRPr="00FA5053" w:rsidRDefault="00FA5053" w:rsidP="006326CC">
      <w:pPr>
        <w:spacing w:line="276" w:lineRule="auto"/>
        <w:jc w:val="both"/>
        <w:rPr>
          <w:color w:val="auto"/>
        </w:rPr>
      </w:pPr>
      <w:r w:rsidRPr="00FA5053">
        <w:rPr>
          <w:b/>
          <w:color w:val="auto"/>
        </w:rPr>
        <w:t>Vaccini: quarta dose.</w:t>
      </w:r>
      <w:r w:rsidRPr="00FA5053">
        <w:rPr>
          <w:color w:val="auto"/>
        </w:rPr>
        <w:t xml:space="preserve"> Al 9 marzo (aggiornamento ore 06.17) sono state somministrate 18.973 quarte dosi</w:t>
      </w:r>
      <w:r w:rsidR="00FA4320">
        <w:rPr>
          <w:color w:val="auto"/>
        </w:rPr>
        <w:t>, attualmente indicate per le persone immunocompromesse</w:t>
      </w:r>
      <w:r w:rsidR="00207D85">
        <w:rPr>
          <w:color w:val="auto"/>
        </w:rPr>
        <w:t xml:space="preserve"> che </w:t>
      </w:r>
      <w:r w:rsidR="009269C8">
        <w:rPr>
          <w:color w:val="auto"/>
        </w:rPr>
        <w:t xml:space="preserve">hanno </w:t>
      </w:r>
      <w:r w:rsidR="00207D85">
        <w:rPr>
          <w:color w:val="auto"/>
        </w:rPr>
        <w:t xml:space="preserve">completato il ciclo primario </w:t>
      </w:r>
      <w:r w:rsidR="00124EFF">
        <w:rPr>
          <w:color w:val="auto"/>
        </w:rPr>
        <w:t>con</w:t>
      </w:r>
      <w:r w:rsidR="00207D85">
        <w:rPr>
          <w:color w:val="auto"/>
        </w:rPr>
        <w:t xml:space="preserve"> tre dosi</w:t>
      </w:r>
      <w:r w:rsidRPr="00FA5053">
        <w:rPr>
          <w:color w:val="auto"/>
        </w:rPr>
        <w:t xml:space="preserve">. In base alla </w:t>
      </w:r>
      <w:hyperlink r:id="rId10" w:history="1">
        <w:r w:rsidRPr="00FA5053">
          <w:rPr>
            <w:rStyle w:val="Collegamentoipertestuale"/>
            <w:color w:val="auto"/>
          </w:rPr>
          <w:t>platea ufficiale</w:t>
        </w:r>
      </w:hyperlink>
      <w:r w:rsidRPr="00FA5053">
        <w:rPr>
          <w:color w:val="auto"/>
        </w:rPr>
        <w:t xml:space="preserve"> (n. 804.603), aggiornata al 1° marzo, il tasso di copertura nazionale per le </w:t>
      </w:r>
      <w:r w:rsidR="00FA4320">
        <w:rPr>
          <w:color w:val="auto"/>
        </w:rPr>
        <w:t>quarte</w:t>
      </w:r>
      <w:r w:rsidRPr="00FA5053">
        <w:rPr>
          <w:color w:val="auto"/>
        </w:rPr>
        <w:t xml:space="preserve">dosi è del 2,4% con nette differenze regionali: dallo 0% </w:t>
      </w:r>
      <w:r w:rsidR="00C359C9">
        <w:rPr>
          <w:color w:val="auto"/>
        </w:rPr>
        <w:t>di</w:t>
      </w:r>
      <w:r w:rsidRPr="00FA5053">
        <w:rPr>
          <w:color w:val="auto"/>
        </w:rPr>
        <w:t>Provincia Autonoma di Bolzano e Basilicata al 14,9% del Piemonte</w:t>
      </w:r>
      <w:r w:rsidR="00C359C9">
        <w:rPr>
          <w:color w:val="auto"/>
        </w:rPr>
        <w:t xml:space="preserve"> (</w:t>
      </w:r>
      <w:r w:rsidR="00C359C9" w:rsidRPr="001C3B3C">
        <w:rPr>
          <w:color w:val="auto"/>
          <w:highlight w:val="yellow"/>
        </w:rPr>
        <w:t>figura 18</w:t>
      </w:r>
      <w:r w:rsidR="00C359C9">
        <w:rPr>
          <w:color w:val="auto"/>
        </w:rPr>
        <w:t>)</w:t>
      </w:r>
      <w:r w:rsidRPr="00FA5053">
        <w:rPr>
          <w:color w:val="auto"/>
        </w:rPr>
        <w:t>.</w:t>
      </w:r>
    </w:p>
    <w:p w:rsidR="00394375" w:rsidRPr="00394375" w:rsidRDefault="00394375" w:rsidP="00207D85">
      <w:pPr>
        <w:spacing w:line="276" w:lineRule="auto"/>
        <w:jc w:val="both"/>
        <w:rPr>
          <w:rFonts w:cs="Calibri"/>
          <w:color w:val="auto"/>
        </w:rPr>
      </w:pPr>
      <w:r w:rsidRPr="00394375">
        <w:rPr>
          <w:b/>
          <w:bCs/>
          <w:color w:val="auto"/>
        </w:rPr>
        <w:t>Vaccini: efficacia.</w:t>
      </w:r>
      <w:r w:rsidRPr="00394375">
        <w:rPr>
          <w:color w:val="auto"/>
        </w:rPr>
        <w:t xml:space="preserve"> I </w:t>
      </w:r>
      <w:hyperlink r:id="rId11" w:history="1">
        <w:r w:rsidRPr="00394375">
          <w:rPr>
            <w:rStyle w:val="Collegamentoipertestuale"/>
            <w:color w:val="auto"/>
          </w:rPr>
          <w:t>dati dell’Istituto Superiore di Sanità</w:t>
        </w:r>
      </w:hyperlink>
      <w:r w:rsidRPr="00394375">
        <w:rPr>
          <w:color w:val="auto"/>
        </w:rPr>
        <w:t xml:space="preserve"> dimostrano la riduzione dell’efficacia vaccinale a partire da 3 mesi dal completamento del ciclo primario e la sua risalita dopo la somministrazione del richiamo. In particolare:</w:t>
      </w:r>
    </w:p>
    <w:p w:rsidR="00394375" w:rsidRPr="00394375" w:rsidRDefault="00394375" w:rsidP="00394375">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eastAsia="Times New Roman"/>
          <w:color w:val="auto"/>
        </w:rPr>
      </w:pPr>
      <w:r w:rsidRPr="00394375">
        <w:rPr>
          <w:rFonts w:eastAsia="Times New Roman"/>
          <w:color w:val="auto"/>
        </w:rPr>
        <w:t>l’efficacia sulla diagnosi scende progressivamente dal 63% per i vaccinati con due dosi entro 90 giorni al 43,6% per i vaccinati da più di 120 giorni, per poi risalire al 62,5</w:t>
      </w:r>
      <w:r w:rsidR="008D799E">
        <w:rPr>
          <w:rFonts w:eastAsia="Times New Roman"/>
          <w:color w:val="auto"/>
        </w:rPr>
        <w:t>%</w:t>
      </w:r>
      <w:r w:rsidRPr="00394375">
        <w:rPr>
          <w:rFonts w:eastAsia="Times New Roman"/>
          <w:color w:val="auto"/>
        </w:rPr>
        <w:t xml:space="preserve"> dopo il richiamo;</w:t>
      </w:r>
    </w:p>
    <w:p w:rsidR="00394375" w:rsidRPr="00394375" w:rsidRDefault="00394375" w:rsidP="00394375">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57" w:hanging="357"/>
        <w:jc w:val="both"/>
        <w:rPr>
          <w:rFonts w:eastAsia="Times New Roman"/>
          <w:color w:val="auto"/>
        </w:rPr>
      </w:pPr>
      <w:r w:rsidRPr="00394375">
        <w:rPr>
          <w:rFonts w:eastAsia="Times New Roman"/>
          <w:color w:val="auto"/>
        </w:rPr>
        <w:t>l’efficacia sulla malattia severa scende progressivamente dall’85,1% per i vaccinati con due dosi entro 90 giorni all’82,1% per i vaccinati da più di 120 giorni, per poi risalire al 92,2% dopo il richiamo.</w:t>
      </w:r>
    </w:p>
    <w:p w:rsidR="007663B3" w:rsidRDefault="007663B3" w:rsidP="0039437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7663B3">
        <w:rPr>
          <w:color w:val="auto"/>
        </w:rPr>
        <w:lastRenderedPageBreak/>
        <w:t>Complessivamente nelle persone vaccinate con ciclo completo (più eventuale dose di richiamo), rispetto a quelle non vaccinate, nelle varie fasce d’età si riduce l’incidenza di diagnosi (del 58,2-76,2%), ma soprattutto di malattia grave (del 73,6-88,3% per ricoveri ordinari; del 78,1-91,7% per le terapie intensive) e decesso (del 78,7-90,4%) (</w:t>
      </w:r>
      <w:r w:rsidRPr="007663B3">
        <w:rPr>
          <w:color w:val="auto"/>
          <w:highlight w:val="yellow"/>
        </w:rPr>
        <w:t xml:space="preserve">figura </w:t>
      </w:r>
      <w:r w:rsidR="00C359C9" w:rsidRPr="007663B3">
        <w:rPr>
          <w:color w:val="auto"/>
          <w:highlight w:val="yellow"/>
        </w:rPr>
        <w:t>1</w:t>
      </w:r>
      <w:r w:rsidR="00C359C9">
        <w:rPr>
          <w:color w:val="auto"/>
          <w:highlight w:val="yellow"/>
        </w:rPr>
        <w:t>9</w:t>
      </w:r>
      <w:r w:rsidRPr="007663B3">
        <w:rPr>
          <w:color w:val="auto"/>
        </w:rPr>
        <w:t>).</w:t>
      </w:r>
    </w:p>
    <w:p w:rsidR="00153627" w:rsidRDefault="00153627" w:rsidP="009326A6">
      <w:pPr>
        <w:spacing w:line="276" w:lineRule="auto"/>
        <w:jc w:val="both"/>
        <w:rPr>
          <w:color w:val="auto"/>
        </w:rPr>
      </w:pPr>
      <w:r w:rsidRPr="00FA5053">
        <w:rPr>
          <w:color w:val="auto"/>
        </w:rPr>
        <w:t xml:space="preserve">«Il recente incremento dei nuovi casi – conclude Cartabellotta – consegue verosimilmente all’interazione di vari fattori: rilassamento della popolazione, diffusione della </w:t>
      </w:r>
      <w:r w:rsidR="006E2BA6">
        <w:rPr>
          <w:color w:val="auto"/>
        </w:rPr>
        <w:t>più contagiosa</w:t>
      </w:r>
      <w:r w:rsidRPr="00FA5053">
        <w:rPr>
          <w:color w:val="auto"/>
        </w:rPr>
        <w:t>variante Omicron BA</w:t>
      </w:r>
      <w:r w:rsidR="00207D85">
        <w:rPr>
          <w:color w:val="auto"/>
        </w:rPr>
        <w:t>.</w:t>
      </w:r>
      <w:r w:rsidRPr="00FA5053">
        <w:rPr>
          <w:color w:val="auto"/>
        </w:rPr>
        <w:t>2, persistenza di basse temperature che costringono ad attività al chiuso</w:t>
      </w:r>
      <w:r w:rsidR="00207D85">
        <w:rPr>
          <w:color w:val="auto"/>
        </w:rPr>
        <w:t xml:space="preserve">, verosimile calo della protezione </w:t>
      </w:r>
      <w:r w:rsidR="004C68B9">
        <w:rPr>
          <w:color w:val="auto"/>
        </w:rPr>
        <w:t xml:space="preserve">vaccinale </w:t>
      </w:r>
      <w:r w:rsidR="00207D85">
        <w:rPr>
          <w:color w:val="auto"/>
        </w:rPr>
        <w:t xml:space="preserve">nei confronti dell’infezione </w:t>
      </w:r>
      <w:r w:rsidR="003049F6">
        <w:rPr>
          <w:color w:val="auto"/>
        </w:rPr>
        <w:t xml:space="preserve">dopo </w:t>
      </w:r>
      <w:r w:rsidR="00207D85">
        <w:rPr>
          <w:color w:val="auto"/>
        </w:rPr>
        <w:t>qualche mese dall</w:t>
      </w:r>
      <w:r w:rsidR="006E2BA6">
        <w:rPr>
          <w:color w:val="auto"/>
        </w:rPr>
        <w:t xml:space="preserve">a </w:t>
      </w:r>
      <w:r w:rsidR="00207D85">
        <w:rPr>
          <w:color w:val="auto"/>
        </w:rPr>
        <w:t xml:space="preserve">dose </w:t>
      </w:r>
      <w:r w:rsidR="00207D85" w:rsidRPr="00207D85">
        <w:rPr>
          <w:i/>
          <w:color w:val="auto"/>
        </w:rPr>
        <w:t>booster</w:t>
      </w:r>
      <w:r w:rsidRPr="00FA5053">
        <w:rPr>
          <w:color w:val="auto"/>
        </w:rPr>
        <w:t xml:space="preserve">. In ogni caso, al di là delle </w:t>
      </w:r>
      <w:r w:rsidR="00F519BE">
        <w:rPr>
          <w:color w:val="auto"/>
        </w:rPr>
        <w:t>motivazioni</w:t>
      </w:r>
      <w:r w:rsidRPr="00FA5053">
        <w:rPr>
          <w:color w:val="auto"/>
        </w:rPr>
        <w:t xml:space="preserve">, </w:t>
      </w:r>
      <w:r w:rsidR="00F519BE">
        <w:rPr>
          <w:color w:val="auto"/>
        </w:rPr>
        <w:t xml:space="preserve">i dati dimostrano che </w:t>
      </w:r>
      <w:r w:rsidR="00F519BE" w:rsidRPr="00FA5053">
        <w:rPr>
          <w:color w:val="auto"/>
        </w:rPr>
        <w:t xml:space="preserve">la circolazione del virus </w:t>
      </w:r>
      <w:r w:rsidR="00F519BE">
        <w:rPr>
          <w:color w:val="auto"/>
        </w:rPr>
        <w:t xml:space="preserve">è ancora </w:t>
      </w:r>
      <w:r w:rsidR="00F519BE" w:rsidRPr="00FA5053">
        <w:rPr>
          <w:color w:val="auto"/>
        </w:rPr>
        <w:t>molto elevata</w:t>
      </w:r>
      <w:r w:rsidR="00F519BE">
        <w:rPr>
          <w:color w:val="auto"/>
        </w:rPr>
        <w:t>:quasi 40 mila</w:t>
      </w:r>
      <w:r w:rsidRPr="00FA5053">
        <w:rPr>
          <w:color w:val="auto"/>
        </w:rPr>
        <w:t>nuovi casi al giorno, oltre 1 milione di positivi e un tasso di positività dei tamponi al</w:t>
      </w:r>
      <w:r w:rsidR="00207D85">
        <w:rPr>
          <w:color w:val="auto"/>
        </w:rPr>
        <w:t>l’</w:t>
      </w:r>
      <w:r w:rsidR="00FA5053" w:rsidRPr="00FA5053">
        <w:rPr>
          <w:color w:val="auto"/>
        </w:rPr>
        <w:t>11,4</w:t>
      </w:r>
      <w:r w:rsidR="00D6037C">
        <w:rPr>
          <w:color w:val="auto"/>
        </w:rPr>
        <w:t>%. Serviranno 7-10</w:t>
      </w:r>
      <w:r w:rsidR="00246244">
        <w:rPr>
          <w:color w:val="auto"/>
        </w:rPr>
        <w:t xml:space="preserve"> giorni per capire se la risalita della curva </w:t>
      </w:r>
      <w:r w:rsidR="003049F6">
        <w:rPr>
          <w:color w:val="auto"/>
        </w:rPr>
        <w:t xml:space="preserve">coincide con </w:t>
      </w:r>
      <w:r w:rsidR="004C68B9">
        <w:rPr>
          <w:color w:val="auto"/>
        </w:rPr>
        <w:t xml:space="preserve">l’inizio di una nuova ondata, con successivo impatto sugli ospedali, </w:t>
      </w:r>
      <w:r w:rsidR="00246244">
        <w:rPr>
          <w:color w:val="auto"/>
        </w:rPr>
        <w:t xml:space="preserve">o </w:t>
      </w:r>
      <w:r w:rsidR="004C68B9">
        <w:rPr>
          <w:color w:val="auto"/>
        </w:rPr>
        <w:t xml:space="preserve">si tratta </w:t>
      </w:r>
      <w:r w:rsidR="00246244">
        <w:rPr>
          <w:color w:val="auto"/>
        </w:rPr>
        <w:t xml:space="preserve">semplicemente un </w:t>
      </w:r>
      <w:r w:rsidR="00124EFF">
        <w:rPr>
          <w:color w:val="auto"/>
        </w:rPr>
        <w:t>semplice rimbalzo</w:t>
      </w:r>
      <w:r w:rsidR="00246244">
        <w:rPr>
          <w:color w:val="auto"/>
        </w:rPr>
        <w:t xml:space="preserve">. Nel frattempo, </w:t>
      </w:r>
      <w:r w:rsidRPr="00FA5053">
        <w:rPr>
          <w:color w:val="auto"/>
        </w:rPr>
        <w:t xml:space="preserve">indipendentemente dalla scadenza dello stato di emergenza, </w:t>
      </w:r>
      <w:r w:rsidR="00207D85">
        <w:rPr>
          <w:color w:val="auto"/>
        </w:rPr>
        <w:t xml:space="preserve">è </w:t>
      </w:r>
      <w:r w:rsidR="003049F6">
        <w:rPr>
          <w:color w:val="auto"/>
        </w:rPr>
        <w:t>pura</w:t>
      </w:r>
      <w:r w:rsidR="00207D85">
        <w:rPr>
          <w:color w:val="auto"/>
        </w:rPr>
        <w:t xml:space="preserve"> follia pensare di abbandonare l’utilizzo delle mascherine al chiuso, fondamentali per </w:t>
      </w:r>
      <w:r w:rsidR="00697E35">
        <w:rPr>
          <w:color w:val="auto"/>
        </w:rPr>
        <w:t xml:space="preserve">contenere </w:t>
      </w:r>
      <w:r w:rsidR="00C222DE">
        <w:rPr>
          <w:color w:val="auto"/>
        </w:rPr>
        <w:t>il più possibile</w:t>
      </w:r>
      <w:r w:rsidR="00207D85">
        <w:rPr>
          <w:color w:val="auto"/>
        </w:rPr>
        <w:t xml:space="preserve"> la trasmissione del contagio</w:t>
      </w:r>
      <w:r w:rsidR="003049F6">
        <w:rPr>
          <w:color w:val="auto"/>
        </w:rPr>
        <w:t xml:space="preserve">, vista anche la </w:t>
      </w:r>
      <w:r w:rsidR="002B59E2" w:rsidRPr="00D6037C">
        <w:rPr>
          <w:color w:val="auto"/>
        </w:rPr>
        <w:t>l</w:t>
      </w:r>
      <w:r w:rsidR="003049F6" w:rsidRPr="00D6037C">
        <w:rPr>
          <w:color w:val="auto"/>
        </w:rPr>
        <w:t xml:space="preserve">imitata </w:t>
      </w:r>
      <w:r w:rsidR="003049F6">
        <w:rPr>
          <w:color w:val="auto"/>
        </w:rPr>
        <w:t xml:space="preserve">efficacia del vaccino </w:t>
      </w:r>
      <w:r w:rsidR="00CC5691">
        <w:rPr>
          <w:color w:val="auto"/>
        </w:rPr>
        <w:t>nel ridurre il rischio di infezione</w:t>
      </w:r>
      <w:r w:rsidR="00207D85">
        <w:rPr>
          <w:color w:val="auto"/>
        </w:rPr>
        <w:t>.Sul</w:t>
      </w:r>
      <w:r w:rsidR="00CC5691">
        <w:rPr>
          <w:color w:val="auto"/>
        </w:rPr>
        <w:t xml:space="preserve"> fronte delle vaccinazioni</w:t>
      </w:r>
      <w:r w:rsidR="00207D85">
        <w:rPr>
          <w:color w:val="auto"/>
        </w:rPr>
        <w:t>,</w:t>
      </w:r>
      <w:r w:rsidR="001C3B3C">
        <w:rPr>
          <w:color w:val="auto"/>
        </w:rPr>
        <w:t xml:space="preserve">considerato che </w:t>
      </w:r>
      <w:r w:rsidR="00246244">
        <w:rPr>
          <w:color w:val="auto"/>
        </w:rPr>
        <w:t>un’ampia fetta della popolazio</w:t>
      </w:r>
      <w:r w:rsidR="001C3B3C">
        <w:rPr>
          <w:color w:val="auto"/>
        </w:rPr>
        <w:t xml:space="preserve">ne è suscettibile al contagio, </w:t>
      </w:r>
      <w:r w:rsidR="004C68B9">
        <w:rPr>
          <w:color w:val="auto"/>
        </w:rPr>
        <w:t>rimane</w:t>
      </w:r>
      <w:r w:rsidRPr="00FA5053">
        <w:rPr>
          <w:color w:val="auto"/>
        </w:rPr>
        <w:t>prioritari</w:t>
      </w:r>
      <w:r w:rsidR="00CD1D53">
        <w:rPr>
          <w:color w:val="auto"/>
        </w:rPr>
        <w:t>a</w:t>
      </w:r>
      <w:r w:rsidRPr="00FA5053">
        <w:rPr>
          <w:color w:val="auto"/>
        </w:rPr>
        <w:t xml:space="preserve"> la somministrazione del ciclo primario a 4,</w:t>
      </w:r>
      <w:r w:rsidR="00FA5053" w:rsidRPr="00FA5053">
        <w:rPr>
          <w:color w:val="auto"/>
        </w:rPr>
        <w:t>6</w:t>
      </w:r>
      <w:r w:rsidRPr="00FA5053">
        <w:rPr>
          <w:color w:val="auto"/>
        </w:rPr>
        <w:t xml:space="preserve">7 milioni di persone e </w:t>
      </w:r>
      <w:r w:rsidR="00CD1D53">
        <w:rPr>
          <w:color w:val="auto"/>
        </w:rPr>
        <w:t>del</w:t>
      </w:r>
      <w:r w:rsidRPr="00FA5053">
        <w:rPr>
          <w:color w:val="auto"/>
        </w:rPr>
        <w:t xml:space="preserve">booster a </w:t>
      </w:r>
      <w:r w:rsidR="00FA5053" w:rsidRPr="00FA5053">
        <w:rPr>
          <w:color w:val="auto"/>
        </w:rPr>
        <w:t>2,8</w:t>
      </w:r>
      <w:r w:rsidR="00246244">
        <w:rPr>
          <w:color w:val="auto"/>
        </w:rPr>
        <w:t xml:space="preserve"> milioni</w:t>
      </w:r>
      <w:r w:rsidRPr="00FA5053">
        <w:rPr>
          <w:color w:val="auto"/>
        </w:rPr>
        <w:t>, in particolare a</w:t>
      </w:r>
      <w:r w:rsidR="00246244">
        <w:rPr>
          <w:color w:val="auto"/>
        </w:rPr>
        <w:t xml:space="preserve">gli </w:t>
      </w:r>
      <w:r w:rsidRPr="00FA5053">
        <w:rPr>
          <w:color w:val="auto"/>
        </w:rPr>
        <w:t>over 50</w:t>
      </w:r>
      <w:r w:rsidR="00246244">
        <w:rPr>
          <w:color w:val="auto"/>
        </w:rPr>
        <w:t xml:space="preserve"> a rischio elevato di malattia grave</w:t>
      </w:r>
      <w:r w:rsidRPr="00FA5053">
        <w:rPr>
          <w:color w:val="auto"/>
        </w:rPr>
        <w:t>».</w:t>
      </w:r>
    </w:p>
    <w:p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2" w:history="1">
        <w:r w:rsidR="00CE577D" w:rsidRPr="00234B97">
          <w:rPr>
            <w:rStyle w:val="Hyperlink0"/>
          </w:rPr>
          <w:t>https://coronavirus.gimbe.org</w:t>
        </w:r>
      </w:hyperlink>
    </w:p>
    <w:p w:rsidR="00B74EC4" w:rsidRDefault="00B74EC4" w:rsidP="00BD67DE">
      <w:pPr>
        <w:spacing w:after="120" w:line="276" w:lineRule="auto"/>
        <w:rPr>
          <w:rStyle w:val="Hyperlink0"/>
        </w:rPr>
      </w:pPr>
    </w:p>
    <w:p w:rsidR="006642F5" w:rsidRDefault="00CE577D" w:rsidP="008F4EDC">
      <w:pPr>
        <w:spacing w:after="120"/>
        <w:rPr>
          <w:rStyle w:val="Hyperlink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3" w:history="1">
        <w:r w:rsidRPr="00234B97">
          <w:rPr>
            <w:rStyle w:val="Hyperlink1"/>
          </w:rPr>
          <w:t>ufficio.stampa@gimbe.org</w:t>
        </w:r>
      </w:hyperlink>
    </w:p>
    <w:p w:rsidR="00C5474A" w:rsidRDefault="00C5474A" w:rsidP="008F4EDC">
      <w:pPr>
        <w:spacing w:after="120"/>
        <w:rPr>
          <w:rStyle w:val="Hyperlink1"/>
        </w:rPr>
      </w:pPr>
    </w:p>
    <w:p w:rsidR="00C5474A" w:rsidRDefault="00C5474A" w:rsidP="008F4EDC">
      <w:pPr>
        <w:spacing w:after="120"/>
        <w:rPr>
          <w:rStyle w:val="Hyperlink1"/>
        </w:rPr>
      </w:pPr>
    </w:p>
    <w:p w:rsidR="00044ABB" w:rsidRDefault="00044ABB" w:rsidP="00D304E2">
      <w:pPr>
        <w:spacing w:after="0" w:line="240" w:lineRule="auto"/>
        <w:jc w:val="center"/>
        <w:rPr>
          <w:b/>
          <w:bCs/>
          <w:color w:val="00457D"/>
          <w:sz w:val="24"/>
          <w:szCs w:val="24"/>
          <w:u w:color="00457D"/>
        </w:rPr>
      </w:pPr>
    </w:p>
    <w:p w:rsidR="00F43DFC" w:rsidRDefault="001203E4" w:rsidP="00D304E2">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rsidR="00F43DFC" w:rsidRPr="00234B97" w:rsidRDefault="00A02710">
      <w:pPr>
        <w:jc w:val="center"/>
        <w:rPr>
          <w:b/>
          <w:bCs/>
          <w:color w:val="00457D"/>
          <w:sz w:val="24"/>
          <w:szCs w:val="24"/>
          <w:u w:color="00457D"/>
        </w:rPr>
      </w:pPr>
      <w:r>
        <w:rPr>
          <w:b/>
          <w:bCs/>
          <w:noProof/>
          <w:color w:val="00457D"/>
          <w:sz w:val="24"/>
          <w:szCs w:val="24"/>
          <w:u w:color="00457D"/>
        </w:rPr>
        <w:drawing>
          <wp:inline distT="0" distB="0" distL="0" distR="0">
            <wp:extent cx="5760000" cy="3193390"/>
            <wp:effectExtent l="0" t="0" r="0" b="762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193390"/>
                    </a:xfrm>
                    <a:prstGeom prst="rect">
                      <a:avLst/>
                    </a:prstGeom>
                    <a:noFill/>
                  </pic:spPr>
                </pic:pic>
              </a:graphicData>
            </a:graphic>
          </wp:inline>
        </w:drawing>
      </w:r>
    </w:p>
    <w:p w:rsidR="00266D51" w:rsidRPr="00234B97" w:rsidRDefault="00266D51">
      <w:pPr>
        <w:jc w:val="center"/>
        <w:rPr>
          <w:b/>
          <w:bCs/>
          <w:color w:val="00457D"/>
          <w:sz w:val="24"/>
          <w:szCs w:val="24"/>
          <w:u w:color="00457D"/>
        </w:rPr>
      </w:pPr>
    </w:p>
    <w:p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A02710">
        <w:rPr>
          <w:b/>
          <w:bCs/>
          <w:noProof/>
          <w:color w:val="00457D"/>
          <w:sz w:val="24"/>
          <w:szCs w:val="24"/>
          <w:u w:color="00457D"/>
        </w:rPr>
        <w:drawing>
          <wp:inline distT="0" distB="0" distL="0" distR="0">
            <wp:extent cx="5760000" cy="3192521"/>
            <wp:effectExtent l="0" t="0" r="0" b="825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192521"/>
                    </a:xfrm>
                    <a:prstGeom prst="rect">
                      <a:avLst/>
                    </a:prstGeom>
                    <a:noFill/>
                  </pic:spPr>
                </pic:pic>
              </a:graphicData>
            </a:graphic>
          </wp:inline>
        </w:drawing>
      </w:r>
    </w:p>
    <w:p w:rsidR="000E770E" w:rsidRDefault="000E770E">
      <w:pPr>
        <w:jc w:val="center"/>
        <w:rPr>
          <w:b/>
          <w:bCs/>
          <w:color w:val="00457D"/>
          <w:sz w:val="24"/>
          <w:szCs w:val="24"/>
          <w:u w:color="00457D"/>
        </w:rPr>
      </w:pPr>
    </w:p>
    <w:p w:rsidR="007B682B" w:rsidRPr="00234B97" w:rsidRDefault="00CE577D">
      <w:pPr>
        <w:jc w:val="center"/>
        <w:sectPr w:rsidR="007B682B" w:rsidRPr="00234B97">
          <w:headerReference w:type="default" r:id="rId16"/>
          <w:pgSz w:w="11900" w:h="16840"/>
          <w:pgMar w:top="993" w:right="1134" w:bottom="709" w:left="1134" w:header="709" w:footer="709" w:gutter="0"/>
          <w:cols w:space="720"/>
        </w:sectPr>
      </w:pPr>
      <w:r w:rsidRPr="00234B9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333BB6" w:rsidRPr="00234B97" w:rsidRDefault="00A02710"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extent cx="9360000" cy="4810624"/>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60000" cy="4810624"/>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AF08E9">
          <w:pgSz w:w="16840" w:h="11900" w:orient="landscape"/>
          <w:pgMar w:top="992" w:right="1134" w:bottom="709" w:left="1134" w:header="709" w:footer="709" w:gutter="0"/>
          <w:cols w:space="720"/>
          <w:docGrid w:linePitch="299"/>
        </w:sectPr>
      </w:pPr>
    </w:p>
    <w:p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rsidR="00FB6128" w:rsidRDefault="002A300B" w:rsidP="00E10DC3">
      <w:pPr>
        <w:spacing w:after="0"/>
        <w:jc w:val="center"/>
        <w:rPr>
          <w:color w:val="auto"/>
        </w:rPr>
      </w:pPr>
      <w:r>
        <w:rPr>
          <w:noProof/>
          <w:color w:val="auto"/>
        </w:rPr>
        <w:drawing>
          <wp:inline distT="0" distB="0" distL="0" distR="0">
            <wp:extent cx="5760000" cy="2814192"/>
            <wp:effectExtent l="0" t="0" r="0" b="571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2814192"/>
                    </a:xfrm>
                    <a:prstGeom prst="rect">
                      <a:avLst/>
                    </a:prstGeom>
                    <a:noFill/>
                  </pic:spPr>
                </pic:pic>
              </a:graphicData>
            </a:graphic>
          </wp:inline>
        </w:drawing>
      </w:r>
    </w:p>
    <w:p w:rsidR="00FB6128" w:rsidRDefault="00FB6128" w:rsidP="00E10DC3">
      <w:pPr>
        <w:spacing w:after="0"/>
        <w:jc w:val="center"/>
        <w:rPr>
          <w:color w:val="auto"/>
        </w:rPr>
      </w:pPr>
    </w:p>
    <w:p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rsidR="00184E2C" w:rsidRDefault="00A02710" w:rsidP="000E770E">
      <w:pPr>
        <w:spacing w:after="0" w:line="276" w:lineRule="auto"/>
        <w:jc w:val="center"/>
        <w:rPr>
          <w:color w:val="auto"/>
        </w:rPr>
      </w:pPr>
      <w:r>
        <w:rPr>
          <w:noProof/>
          <w:color w:val="auto"/>
        </w:rPr>
        <w:drawing>
          <wp:inline distT="0" distB="0" distL="0" distR="0">
            <wp:extent cx="5760000" cy="3118094"/>
            <wp:effectExtent l="0" t="0" r="0" b="635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118094"/>
                    </a:xfrm>
                    <a:prstGeom prst="rect">
                      <a:avLst/>
                    </a:prstGeom>
                    <a:noFill/>
                  </pic:spPr>
                </pic:pic>
              </a:graphicData>
            </a:graphic>
          </wp:inline>
        </w:drawing>
      </w:r>
    </w:p>
    <w:p w:rsidR="000E770E" w:rsidRDefault="000E770E" w:rsidP="00626103">
      <w:pPr>
        <w:spacing w:after="0"/>
        <w:jc w:val="center"/>
        <w:rPr>
          <w:b/>
          <w:bCs/>
          <w:color w:val="00457D"/>
          <w:sz w:val="24"/>
          <w:szCs w:val="24"/>
          <w:u w:color="00457D"/>
        </w:rPr>
      </w:pPr>
    </w:p>
    <w:p w:rsidR="00FB6128" w:rsidRDefault="00FB6128">
      <w:pPr>
        <w:spacing w:after="0" w:line="240" w:lineRule="auto"/>
        <w:rPr>
          <w:b/>
          <w:bCs/>
          <w:color w:val="00457D"/>
          <w:sz w:val="24"/>
          <w:szCs w:val="24"/>
          <w:u w:color="00457D"/>
        </w:rPr>
      </w:pPr>
      <w:r>
        <w:rPr>
          <w:b/>
          <w:bCs/>
          <w:color w:val="00457D"/>
          <w:sz w:val="24"/>
          <w:szCs w:val="24"/>
          <w:u w:color="00457D"/>
        </w:rPr>
        <w:br w:type="page"/>
      </w:r>
    </w:p>
    <w:p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rsidR="00D93FAE" w:rsidRPr="00FB6128" w:rsidRDefault="002A300B" w:rsidP="00F9470A">
      <w:pPr>
        <w:spacing w:after="0"/>
        <w:jc w:val="center"/>
        <w:rPr>
          <w:b/>
          <w:bCs/>
          <w:color w:val="00457D"/>
          <w:sz w:val="24"/>
          <w:szCs w:val="24"/>
          <w:u w:color="00457D"/>
        </w:rPr>
      </w:pPr>
      <w:r>
        <w:rPr>
          <w:b/>
          <w:bCs/>
          <w:noProof/>
          <w:color w:val="00457D"/>
          <w:sz w:val="24"/>
          <w:szCs w:val="24"/>
          <w:u w:color="00457D"/>
        </w:rPr>
        <w:drawing>
          <wp:inline distT="0" distB="0" distL="0" distR="0">
            <wp:extent cx="5760000" cy="3080328"/>
            <wp:effectExtent l="0" t="0" r="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080328"/>
                    </a:xfrm>
                    <a:prstGeom prst="rect">
                      <a:avLst/>
                    </a:prstGeom>
                    <a:noFill/>
                  </pic:spPr>
                </pic:pic>
              </a:graphicData>
            </a:graphic>
          </wp:inline>
        </w:drawing>
      </w:r>
    </w:p>
    <w:p w:rsidR="00D93FAE" w:rsidRPr="00F9470A" w:rsidRDefault="00D93FAE" w:rsidP="00D93FAE">
      <w:pPr>
        <w:spacing w:after="0" w:line="240" w:lineRule="auto"/>
        <w:jc w:val="center"/>
        <w:rPr>
          <w:b/>
          <w:bCs/>
          <w:color w:val="00457D"/>
          <w:sz w:val="8"/>
          <w:szCs w:val="14"/>
          <w:u w:color="00457D"/>
        </w:rPr>
      </w:pPr>
    </w:p>
    <w:p w:rsidR="00061647" w:rsidRDefault="00061647">
      <w:pPr>
        <w:spacing w:after="0" w:line="240" w:lineRule="auto"/>
        <w:rPr>
          <w:b/>
          <w:bCs/>
          <w:color w:val="00457D"/>
          <w:sz w:val="24"/>
          <w:szCs w:val="24"/>
          <w:u w:color="00457D"/>
        </w:rPr>
      </w:pPr>
    </w:p>
    <w:p w:rsidR="00061647" w:rsidRDefault="00061647" w:rsidP="00061647">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7</w:t>
      </w:r>
    </w:p>
    <w:p w:rsidR="00061647" w:rsidRDefault="002A300B" w:rsidP="00061647">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2880211"/>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2880211"/>
                    </a:xfrm>
                    <a:prstGeom prst="rect">
                      <a:avLst/>
                    </a:prstGeom>
                    <a:noFill/>
                  </pic:spPr>
                </pic:pic>
              </a:graphicData>
            </a:graphic>
          </wp:inline>
        </w:drawing>
      </w:r>
      <w:r w:rsidR="00061647">
        <w:rPr>
          <w:b/>
          <w:bCs/>
          <w:color w:val="00457D"/>
          <w:sz w:val="24"/>
          <w:szCs w:val="24"/>
          <w:u w:color="00457D"/>
        </w:rPr>
        <w:br w:type="page"/>
      </w:r>
    </w:p>
    <w:p w:rsidR="00A03AAC" w:rsidRDefault="00D93FAE" w:rsidP="00D93FAE">
      <w:pPr>
        <w:spacing w:after="0"/>
        <w:jc w:val="center"/>
        <w:rPr>
          <w:b/>
          <w:bCs/>
          <w:color w:val="00457D"/>
          <w:sz w:val="24"/>
          <w:szCs w:val="24"/>
          <w:u w:color="00457D"/>
        </w:rPr>
      </w:pPr>
      <w:r>
        <w:rPr>
          <w:b/>
          <w:bCs/>
          <w:color w:val="00457D"/>
          <w:sz w:val="24"/>
          <w:szCs w:val="24"/>
          <w:u w:color="00457D"/>
        </w:rPr>
        <w:lastRenderedPageBreak/>
        <w:t xml:space="preserve">Figura </w:t>
      </w:r>
      <w:r w:rsidR="00061647">
        <w:rPr>
          <w:b/>
          <w:bCs/>
          <w:color w:val="00457D"/>
          <w:sz w:val="24"/>
          <w:szCs w:val="24"/>
          <w:u w:color="00457D"/>
        </w:rPr>
        <w:t>8</w:t>
      </w:r>
    </w:p>
    <w:p w:rsidR="00D93FAE" w:rsidRPr="00D93FAE" w:rsidRDefault="002A300B" w:rsidP="00D93FAE">
      <w:pPr>
        <w:spacing w:after="0"/>
        <w:jc w:val="center"/>
        <w:rPr>
          <w:b/>
          <w:bCs/>
          <w:color w:val="00457D"/>
          <w:sz w:val="24"/>
          <w:szCs w:val="24"/>
          <w:u w:color="00457D"/>
        </w:rPr>
      </w:pPr>
      <w:r>
        <w:rPr>
          <w:b/>
          <w:bCs/>
          <w:noProof/>
          <w:color w:val="00457D"/>
          <w:sz w:val="24"/>
          <w:szCs w:val="24"/>
          <w:u w:color="00457D"/>
        </w:rPr>
        <w:drawing>
          <wp:inline distT="0" distB="0" distL="0" distR="0">
            <wp:extent cx="5724000" cy="5674743"/>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000" cy="5674743"/>
                    </a:xfrm>
                    <a:prstGeom prst="rect">
                      <a:avLst/>
                    </a:prstGeom>
                    <a:noFill/>
                  </pic:spPr>
                </pic:pic>
              </a:graphicData>
            </a:graphic>
          </wp:inline>
        </w:drawing>
      </w:r>
    </w:p>
    <w:p w:rsidR="002879EE" w:rsidRPr="002879EE" w:rsidRDefault="002879EE">
      <w:pPr>
        <w:spacing w:after="0"/>
        <w:jc w:val="center"/>
        <w:rPr>
          <w:b/>
          <w:bCs/>
          <w:color w:val="00457D"/>
          <w:sz w:val="10"/>
          <w:szCs w:val="12"/>
          <w:u w:color="00457D"/>
        </w:rPr>
      </w:pPr>
    </w:p>
    <w:p w:rsidR="00184E2C" w:rsidRDefault="00CE577D">
      <w:pPr>
        <w:spacing w:after="0"/>
        <w:jc w:val="center"/>
        <w:rPr>
          <w:b/>
          <w:bCs/>
          <w:color w:val="00457D"/>
          <w:sz w:val="24"/>
          <w:szCs w:val="24"/>
          <w:u w:color="00457D"/>
        </w:rPr>
      </w:pPr>
      <w:r w:rsidRPr="00542585">
        <w:rPr>
          <w:b/>
          <w:bCs/>
          <w:color w:val="00457D"/>
          <w:sz w:val="24"/>
          <w:szCs w:val="24"/>
          <w:u w:color="00457D"/>
        </w:rPr>
        <w:t>Figura</w:t>
      </w:r>
      <w:r w:rsidR="00061647">
        <w:rPr>
          <w:b/>
          <w:bCs/>
          <w:color w:val="00457D"/>
          <w:sz w:val="24"/>
          <w:szCs w:val="24"/>
          <w:u w:color="00457D"/>
        </w:rPr>
        <w:t>9</w:t>
      </w:r>
    </w:p>
    <w:p w:rsidR="003274E5" w:rsidRDefault="002A300B" w:rsidP="003274E5">
      <w:pPr>
        <w:spacing w:after="0"/>
        <w:jc w:val="center"/>
        <w:rPr>
          <w:b/>
          <w:bCs/>
          <w:color w:val="00457D"/>
          <w:sz w:val="24"/>
          <w:szCs w:val="24"/>
          <w:u w:color="00457D"/>
        </w:rPr>
      </w:pPr>
      <w:r>
        <w:rPr>
          <w:b/>
          <w:bCs/>
          <w:noProof/>
          <w:color w:val="00457D"/>
          <w:sz w:val="24"/>
          <w:szCs w:val="24"/>
          <w:u w:color="00457D"/>
        </w:rPr>
        <w:drawing>
          <wp:inline distT="0" distB="0" distL="0" distR="0">
            <wp:extent cx="5724000" cy="2775484"/>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000" cy="2775484"/>
                    </a:xfrm>
                    <a:prstGeom prst="rect">
                      <a:avLst/>
                    </a:prstGeom>
                    <a:noFill/>
                  </pic:spPr>
                </pic:pic>
              </a:graphicData>
            </a:graphic>
          </wp:inline>
        </w:drawing>
      </w:r>
    </w:p>
    <w:p w:rsidR="007B682B" w:rsidRPr="008049CF" w:rsidRDefault="00F9470A" w:rsidP="005E411F">
      <w:pPr>
        <w:spacing w:after="0" w:line="240" w:lineRule="auto"/>
        <w:jc w:val="center"/>
        <w:rPr>
          <w:b/>
          <w:bCs/>
          <w:color w:val="00457D"/>
          <w:sz w:val="24"/>
          <w:szCs w:val="24"/>
          <w:u w:color="00457D"/>
        </w:rPr>
      </w:pPr>
      <w:r w:rsidRPr="008049CF">
        <w:rPr>
          <w:b/>
          <w:bCs/>
          <w:color w:val="00457D"/>
          <w:sz w:val="24"/>
          <w:szCs w:val="24"/>
          <w:u w:color="00457D"/>
        </w:rPr>
        <w:lastRenderedPageBreak/>
        <w:t>Figura</w:t>
      </w:r>
      <w:r w:rsidR="00061647" w:rsidRPr="008049CF">
        <w:rPr>
          <w:b/>
          <w:bCs/>
          <w:color w:val="00457D"/>
          <w:sz w:val="24"/>
          <w:szCs w:val="24"/>
          <w:u w:color="00457D"/>
        </w:rPr>
        <w:t>10</w:t>
      </w:r>
    </w:p>
    <w:p w:rsidR="00542585" w:rsidRDefault="00FA5053" w:rsidP="00F529F2">
      <w:pPr>
        <w:jc w:val="center"/>
        <w:rPr>
          <w:b/>
          <w:bCs/>
          <w:color w:val="00457D"/>
          <w:sz w:val="24"/>
          <w:szCs w:val="24"/>
          <w:u w:color="00457D"/>
        </w:rPr>
      </w:pPr>
      <w:r>
        <w:rPr>
          <w:b/>
          <w:bCs/>
          <w:noProof/>
          <w:color w:val="00457D"/>
          <w:sz w:val="24"/>
          <w:szCs w:val="24"/>
          <w:u w:color="00457D"/>
        </w:rPr>
        <w:drawing>
          <wp:inline distT="0" distB="0" distL="0" distR="0">
            <wp:extent cx="5760000" cy="4510939"/>
            <wp:effectExtent l="0" t="0" r="0" b="444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4510939"/>
                    </a:xfrm>
                    <a:prstGeom prst="rect">
                      <a:avLst/>
                    </a:prstGeom>
                    <a:noFill/>
                  </pic:spPr>
                </pic:pic>
              </a:graphicData>
            </a:graphic>
          </wp:inline>
        </w:drawing>
      </w:r>
    </w:p>
    <w:p w:rsidR="001C70B3" w:rsidRDefault="001C70B3" w:rsidP="00F529F2">
      <w:pPr>
        <w:jc w:val="center"/>
        <w:rPr>
          <w:b/>
          <w:bCs/>
          <w:color w:val="00457D"/>
          <w:sz w:val="24"/>
          <w:szCs w:val="24"/>
          <w:u w:color="00457D"/>
        </w:rPr>
      </w:pPr>
    </w:p>
    <w:p w:rsidR="00DB1360" w:rsidRDefault="00DB1360" w:rsidP="00DC31F1">
      <w:pPr>
        <w:spacing w:after="0" w:line="240" w:lineRule="auto"/>
        <w:jc w:val="center"/>
        <w:rPr>
          <w:b/>
          <w:bCs/>
          <w:color w:val="00457D"/>
          <w:sz w:val="24"/>
          <w:szCs w:val="24"/>
          <w:u w:color="00457D"/>
        </w:rPr>
      </w:pPr>
      <w:r>
        <w:rPr>
          <w:b/>
          <w:bCs/>
          <w:color w:val="00457D"/>
          <w:sz w:val="24"/>
          <w:szCs w:val="24"/>
          <w:u w:color="00457D"/>
        </w:rPr>
        <w:t xml:space="preserve">Figura </w:t>
      </w:r>
      <w:r w:rsidR="00D93FAE">
        <w:rPr>
          <w:b/>
          <w:bCs/>
          <w:color w:val="00457D"/>
          <w:sz w:val="24"/>
          <w:szCs w:val="24"/>
          <w:u w:color="00457D"/>
        </w:rPr>
        <w:t>1</w:t>
      </w:r>
      <w:r w:rsidR="00061647">
        <w:rPr>
          <w:b/>
          <w:bCs/>
          <w:color w:val="00457D"/>
          <w:sz w:val="24"/>
          <w:szCs w:val="24"/>
          <w:u w:color="00457D"/>
        </w:rPr>
        <w:t>1</w:t>
      </w:r>
    </w:p>
    <w:p w:rsidR="00DB1360" w:rsidRDefault="00FA5053"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348465"/>
            <wp:effectExtent l="0" t="0" r="0" b="444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348465"/>
                    </a:xfrm>
                    <a:prstGeom prst="rect">
                      <a:avLst/>
                    </a:prstGeom>
                    <a:noFill/>
                  </pic:spPr>
                </pic:pic>
              </a:graphicData>
            </a:graphic>
          </wp:inline>
        </w:drawing>
      </w:r>
    </w:p>
    <w:p w:rsidR="00DC31F1" w:rsidRDefault="00DC31F1">
      <w:pPr>
        <w:spacing w:after="0" w:line="240" w:lineRule="auto"/>
        <w:rPr>
          <w:b/>
          <w:bCs/>
          <w:color w:val="00457D"/>
          <w:sz w:val="24"/>
          <w:szCs w:val="24"/>
          <w:u w:color="00457D"/>
        </w:rPr>
      </w:pPr>
    </w:p>
    <w:p w:rsidR="00303AA0" w:rsidRDefault="004B6DC2" w:rsidP="00303AA0">
      <w:pPr>
        <w:spacing w:after="0" w:line="240" w:lineRule="auto"/>
        <w:jc w:val="center"/>
        <w:rPr>
          <w:b/>
          <w:bCs/>
          <w:color w:val="00457D"/>
          <w:sz w:val="24"/>
          <w:szCs w:val="24"/>
          <w:u w:color="00457D"/>
        </w:rPr>
      </w:pPr>
      <w:r>
        <w:rPr>
          <w:b/>
          <w:bCs/>
          <w:color w:val="00457D"/>
          <w:sz w:val="24"/>
          <w:szCs w:val="24"/>
          <w:u w:color="00457D"/>
        </w:rPr>
        <w:lastRenderedPageBreak/>
        <w:t>Figura 1</w:t>
      </w:r>
      <w:r w:rsidR="00061647">
        <w:rPr>
          <w:b/>
          <w:bCs/>
          <w:color w:val="00457D"/>
          <w:sz w:val="24"/>
          <w:szCs w:val="24"/>
          <w:u w:color="00457D"/>
        </w:rPr>
        <w:t>2</w:t>
      </w:r>
    </w:p>
    <w:p w:rsidR="004B6DC2" w:rsidRDefault="00FA5053" w:rsidP="00F23D8B">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878793"/>
            <wp:effectExtent l="0" t="0" r="0" b="762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878793"/>
                    </a:xfrm>
                    <a:prstGeom prst="rect">
                      <a:avLst/>
                    </a:prstGeom>
                    <a:noFill/>
                  </pic:spPr>
                </pic:pic>
              </a:graphicData>
            </a:graphic>
          </wp:inline>
        </w:drawing>
      </w:r>
    </w:p>
    <w:p w:rsidR="001C3D01" w:rsidRDefault="001C3D01">
      <w:pPr>
        <w:spacing w:after="0" w:line="240" w:lineRule="auto"/>
        <w:rPr>
          <w:b/>
          <w:bCs/>
          <w:color w:val="00457D"/>
          <w:sz w:val="24"/>
          <w:szCs w:val="24"/>
          <w:u w:color="00457D"/>
        </w:rPr>
      </w:pPr>
    </w:p>
    <w:p w:rsidR="001B3764" w:rsidRPr="00BF670A" w:rsidRDefault="00736C14" w:rsidP="00DB1360">
      <w:pPr>
        <w:spacing w:after="0" w:line="240" w:lineRule="auto"/>
        <w:jc w:val="center"/>
        <w:rPr>
          <w:b/>
          <w:bCs/>
          <w:color w:val="FF0000"/>
          <w:sz w:val="24"/>
          <w:szCs w:val="24"/>
          <w:u w:color="00457D"/>
        </w:rPr>
      </w:pPr>
      <w:r>
        <w:rPr>
          <w:b/>
          <w:bCs/>
          <w:color w:val="00457D"/>
          <w:sz w:val="24"/>
          <w:szCs w:val="24"/>
          <w:u w:color="00457D"/>
        </w:rPr>
        <w:t>Figura 1</w:t>
      </w:r>
      <w:r w:rsidR="00061647">
        <w:rPr>
          <w:b/>
          <w:bCs/>
          <w:color w:val="00457D"/>
          <w:sz w:val="24"/>
          <w:szCs w:val="24"/>
          <w:u w:color="00457D"/>
        </w:rPr>
        <w:t>3</w:t>
      </w:r>
    </w:p>
    <w:p w:rsidR="001B3764" w:rsidRPr="00466C2D" w:rsidRDefault="00FA5053"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661941"/>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661941"/>
                    </a:xfrm>
                    <a:prstGeom prst="rect">
                      <a:avLst/>
                    </a:prstGeom>
                    <a:noFill/>
                  </pic:spPr>
                </pic:pic>
              </a:graphicData>
            </a:graphic>
          </wp:inline>
        </w:drawing>
      </w:r>
    </w:p>
    <w:p w:rsidR="00A45C23" w:rsidRPr="00466C2D" w:rsidRDefault="00A45C23">
      <w:pPr>
        <w:spacing w:after="0" w:line="240" w:lineRule="auto"/>
        <w:rPr>
          <w:b/>
          <w:bCs/>
          <w:color w:val="00457D"/>
          <w:sz w:val="24"/>
          <w:szCs w:val="24"/>
          <w:u w:color="00457D"/>
        </w:rPr>
      </w:pPr>
    </w:p>
    <w:p w:rsidR="00DF30EE" w:rsidRDefault="00DF30EE">
      <w:pPr>
        <w:spacing w:after="0" w:line="240" w:lineRule="auto"/>
        <w:rPr>
          <w:b/>
          <w:bCs/>
          <w:color w:val="00457D"/>
          <w:sz w:val="24"/>
          <w:szCs w:val="24"/>
          <w:u w:color="00457D"/>
        </w:rPr>
      </w:pPr>
    </w:p>
    <w:p w:rsidR="00061647" w:rsidRDefault="00061647">
      <w:pPr>
        <w:spacing w:after="0" w:line="240" w:lineRule="auto"/>
        <w:rPr>
          <w:b/>
          <w:bCs/>
          <w:color w:val="00457D"/>
          <w:sz w:val="24"/>
          <w:szCs w:val="24"/>
          <w:u w:color="00457D"/>
        </w:rPr>
      </w:pPr>
      <w:r>
        <w:rPr>
          <w:b/>
          <w:bCs/>
          <w:color w:val="00457D"/>
          <w:sz w:val="24"/>
          <w:szCs w:val="24"/>
          <w:u w:color="00457D"/>
        </w:rPr>
        <w:br w:type="page"/>
      </w:r>
    </w:p>
    <w:p w:rsidR="004B6DC2" w:rsidRPr="004B6DC2" w:rsidRDefault="004B6DC2" w:rsidP="00005129">
      <w:pPr>
        <w:spacing w:after="0" w:line="240" w:lineRule="auto"/>
        <w:jc w:val="center"/>
        <w:rPr>
          <w:b/>
          <w:bCs/>
          <w:color w:val="00457D"/>
          <w:sz w:val="24"/>
          <w:szCs w:val="24"/>
          <w:u w:color="00457D"/>
        </w:rPr>
      </w:pPr>
      <w:r w:rsidRPr="004B6DC2">
        <w:rPr>
          <w:b/>
          <w:bCs/>
          <w:color w:val="00457D"/>
          <w:sz w:val="24"/>
          <w:szCs w:val="24"/>
          <w:u w:color="00457D"/>
        </w:rPr>
        <w:lastRenderedPageBreak/>
        <w:t>Figura 1</w:t>
      </w:r>
      <w:r w:rsidR="00061647">
        <w:rPr>
          <w:b/>
          <w:bCs/>
          <w:color w:val="00457D"/>
          <w:sz w:val="24"/>
          <w:szCs w:val="24"/>
          <w:u w:color="00457D"/>
        </w:rPr>
        <w:t>4</w:t>
      </w:r>
    </w:p>
    <w:p w:rsidR="003D05A8" w:rsidRDefault="00FA5053" w:rsidP="00061647">
      <w:pPr>
        <w:spacing w:after="120"/>
        <w:jc w:val="center"/>
        <w:rPr>
          <w:b/>
          <w:bCs/>
          <w:color w:val="00457D"/>
          <w:sz w:val="24"/>
          <w:szCs w:val="24"/>
          <w:u w:color="00457D"/>
        </w:rPr>
      </w:pPr>
      <w:r>
        <w:rPr>
          <w:b/>
          <w:bCs/>
          <w:noProof/>
          <w:color w:val="00457D"/>
          <w:sz w:val="24"/>
          <w:szCs w:val="24"/>
          <w:u w:color="00457D"/>
        </w:rPr>
        <w:drawing>
          <wp:inline distT="0" distB="0" distL="0" distR="0">
            <wp:extent cx="5760000" cy="3661941"/>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661941"/>
                    </a:xfrm>
                    <a:prstGeom prst="rect">
                      <a:avLst/>
                    </a:prstGeom>
                    <a:noFill/>
                  </pic:spPr>
                </pic:pic>
              </a:graphicData>
            </a:graphic>
          </wp:inline>
        </w:drawing>
      </w:r>
    </w:p>
    <w:p w:rsidR="001C3D01" w:rsidRDefault="001C3D01">
      <w:pPr>
        <w:spacing w:after="0" w:line="240" w:lineRule="auto"/>
        <w:rPr>
          <w:b/>
          <w:bCs/>
          <w:color w:val="00457D"/>
          <w:sz w:val="24"/>
          <w:szCs w:val="24"/>
          <w:u w:color="00457D"/>
        </w:rPr>
      </w:pPr>
    </w:p>
    <w:p w:rsidR="00211923" w:rsidRPr="00466C2D" w:rsidRDefault="00211923" w:rsidP="00DF30EE">
      <w:pPr>
        <w:spacing w:after="0" w:line="240" w:lineRule="auto"/>
        <w:jc w:val="center"/>
        <w:rPr>
          <w:b/>
          <w:bCs/>
          <w:color w:val="00457D"/>
          <w:sz w:val="24"/>
          <w:szCs w:val="24"/>
          <w:u w:color="00457D"/>
        </w:rPr>
      </w:pPr>
    </w:p>
    <w:p w:rsidR="00211923" w:rsidRPr="00211923" w:rsidRDefault="00211923" w:rsidP="00211923">
      <w:pPr>
        <w:spacing w:after="0" w:line="240" w:lineRule="auto"/>
        <w:jc w:val="center"/>
        <w:rPr>
          <w:b/>
          <w:bCs/>
          <w:color w:val="00457D"/>
          <w:sz w:val="24"/>
          <w:szCs w:val="24"/>
          <w:u w:color="00457D"/>
        </w:rPr>
      </w:pPr>
      <w:r w:rsidRPr="008049CF">
        <w:rPr>
          <w:b/>
          <w:bCs/>
          <w:color w:val="00457D"/>
          <w:sz w:val="24"/>
          <w:szCs w:val="24"/>
          <w:u w:color="00457D"/>
        </w:rPr>
        <w:t xml:space="preserve">Figura </w:t>
      </w:r>
      <w:r w:rsidR="00D022C4" w:rsidRPr="008049CF">
        <w:rPr>
          <w:b/>
          <w:bCs/>
          <w:color w:val="00457D"/>
          <w:sz w:val="24"/>
          <w:szCs w:val="24"/>
          <w:u w:color="00457D"/>
        </w:rPr>
        <w:t>1</w:t>
      </w:r>
      <w:r w:rsidR="00D022C4">
        <w:rPr>
          <w:b/>
          <w:bCs/>
          <w:color w:val="00457D"/>
          <w:sz w:val="24"/>
          <w:szCs w:val="24"/>
          <w:u w:color="00457D"/>
        </w:rPr>
        <w:t>5</w:t>
      </w:r>
    </w:p>
    <w:p w:rsidR="00A15BB4" w:rsidRDefault="00FA5053" w:rsidP="00012B67">
      <w:pPr>
        <w:spacing w:line="276" w:lineRule="auto"/>
        <w:jc w:val="center"/>
        <w:rPr>
          <w:color w:val="FF0000"/>
        </w:rPr>
      </w:pPr>
      <w:r>
        <w:rPr>
          <w:noProof/>
          <w:color w:val="FF0000"/>
        </w:rPr>
        <w:drawing>
          <wp:inline distT="0" distB="0" distL="0" distR="0">
            <wp:extent cx="5760000" cy="3634133"/>
            <wp:effectExtent l="0" t="0" r="0" b="444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634133"/>
                    </a:xfrm>
                    <a:prstGeom prst="rect">
                      <a:avLst/>
                    </a:prstGeom>
                    <a:noFill/>
                  </pic:spPr>
                </pic:pic>
              </a:graphicData>
            </a:graphic>
          </wp:inline>
        </w:drawing>
      </w:r>
    </w:p>
    <w:p w:rsidR="00DF30EE" w:rsidRDefault="00DF30EE">
      <w:pPr>
        <w:spacing w:after="0" w:line="240" w:lineRule="auto"/>
        <w:rPr>
          <w:b/>
          <w:bCs/>
          <w:color w:val="00457D"/>
          <w:sz w:val="24"/>
          <w:szCs w:val="24"/>
          <w:u w:color="00457D"/>
        </w:rPr>
      </w:pPr>
    </w:p>
    <w:p w:rsidR="004B6DC2" w:rsidRDefault="004B6DC2" w:rsidP="004B6DC2">
      <w:pPr>
        <w:spacing w:after="0" w:line="240" w:lineRule="auto"/>
        <w:jc w:val="center"/>
        <w:rPr>
          <w:b/>
          <w:bCs/>
          <w:color w:val="00457D"/>
          <w:sz w:val="24"/>
          <w:szCs w:val="24"/>
          <w:u w:color="00457D"/>
        </w:rPr>
      </w:pPr>
    </w:p>
    <w:p w:rsidR="001C3537" w:rsidRDefault="001C3537" w:rsidP="00622991">
      <w:pPr>
        <w:spacing w:after="0" w:line="240" w:lineRule="auto"/>
        <w:jc w:val="center"/>
        <w:rPr>
          <w:b/>
          <w:bCs/>
          <w:color w:val="00457D"/>
          <w:sz w:val="24"/>
          <w:szCs w:val="24"/>
          <w:u w:color="00457D"/>
        </w:rPr>
      </w:pPr>
    </w:p>
    <w:p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lastRenderedPageBreak/>
        <w:t xml:space="preserve">Figura </w:t>
      </w:r>
      <w:r w:rsidR="00D022C4">
        <w:rPr>
          <w:b/>
          <w:bCs/>
          <w:color w:val="00457D"/>
          <w:sz w:val="24"/>
          <w:szCs w:val="24"/>
          <w:u w:color="00457D"/>
        </w:rPr>
        <w:t>1</w:t>
      </w:r>
      <w:r w:rsidR="00B12111">
        <w:rPr>
          <w:b/>
          <w:bCs/>
          <w:color w:val="00457D"/>
          <w:sz w:val="24"/>
          <w:szCs w:val="24"/>
          <w:u w:color="00457D"/>
        </w:rPr>
        <w:t>6</w:t>
      </w:r>
    </w:p>
    <w:p w:rsidR="00333BB6" w:rsidRDefault="00FA5053" w:rsidP="001B2CE3">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4340335"/>
            <wp:effectExtent l="0" t="0" r="0" b="317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4340335"/>
                    </a:xfrm>
                    <a:prstGeom prst="rect">
                      <a:avLst/>
                    </a:prstGeom>
                    <a:noFill/>
                  </pic:spPr>
                </pic:pic>
              </a:graphicData>
            </a:graphic>
          </wp:inline>
        </w:drawing>
      </w:r>
    </w:p>
    <w:p w:rsidR="001C3D01" w:rsidRDefault="001C3D01">
      <w:pPr>
        <w:spacing w:after="0" w:line="240" w:lineRule="auto"/>
        <w:rPr>
          <w:b/>
          <w:bCs/>
          <w:color w:val="00457D"/>
          <w:sz w:val="24"/>
          <w:szCs w:val="24"/>
          <w:u w:color="00457D"/>
        </w:rPr>
      </w:pPr>
    </w:p>
    <w:p w:rsidR="00A15BB4" w:rsidRDefault="00A15BB4">
      <w:pPr>
        <w:spacing w:after="0" w:line="240" w:lineRule="auto"/>
        <w:rPr>
          <w:b/>
          <w:bCs/>
          <w:color w:val="00457D"/>
          <w:sz w:val="24"/>
          <w:szCs w:val="24"/>
          <w:u w:color="00457D"/>
        </w:rPr>
      </w:pPr>
    </w:p>
    <w:p w:rsidR="004B6DC2" w:rsidRDefault="004B6DC2" w:rsidP="004B6DC2">
      <w:pPr>
        <w:spacing w:after="0" w:line="240" w:lineRule="auto"/>
        <w:jc w:val="center"/>
        <w:rPr>
          <w:b/>
          <w:bCs/>
          <w:color w:val="00457D"/>
          <w:sz w:val="24"/>
          <w:szCs w:val="24"/>
          <w:u w:color="00457D"/>
        </w:rPr>
      </w:pPr>
    </w:p>
    <w:p w:rsidR="00061647" w:rsidRDefault="00061647">
      <w:pPr>
        <w:spacing w:after="0" w:line="240" w:lineRule="auto"/>
        <w:rPr>
          <w:b/>
          <w:bCs/>
          <w:color w:val="00457D"/>
          <w:sz w:val="24"/>
          <w:szCs w:val="24"/>
          <w:u w:color="00457D"/>
        </w:rPr>
      </w:pPr>
      <w:r>
        <w:rPr>
          <w:b/>
          <w:bCs/>
          <w:color w:val="00457D"/>
          <w:sz w:val="24"/>
          <w:szCs w:val="24"/>
          <w:u w:color="00457D"/>
        </w:rPr>
        <w:br w:type="page"/>
      </w:r>
    </w:p>
    <w:p w:rsidR="001B2CE3" w:rsidRDefault="004B6DC2" w:rsidP="002B5AE9">
      <w:pPr>
        <w:spacing w:after="0" w:line="240" w:lineRule="auto"/>
        <w:jc w:val="center"/>
        <w:rPr>
          <w:b/>
          <w:bCs/>
          <w:color w:val="00457D"/>
          <w:sz w:val="24"/>
          <w:szCs w:val="24"/>
          <w:u w:color="00457D"/>
        </w:rPr>
      </w:pPr>
      <w:r w:rsidRPr="00D001BF">
        <w:rPr>
          <w:b/>
          <w:bCs/>
          <w:color w:val="00457D"/>
          <w:sz w:val="24"/>
          <w:szCs w:val="24"/>
          <w:u w:color="00457D"/>
        </w:rPr>
        <w:lastRenderedPageBreak/>
        <w:t xml:space="preserve">Figura </w:t>
      </w:r>
      <w:r w:rsidR="00D022C4">
        <w:rPr>
          <w:b/>
          <w:bCs/>
          <w:color w:val="00457D"/>
          <w:sz w:val="24"/>
          <w:szCs w:val="24"/>
          <w:u w:color="00457D"/>
        </w:rPr>
        <w:t>1</w:t>
      </w:r>
      <w:r w:rsidR="00D91289">
        <w:rPr>
          <w:b/>
          <w:bCs/>
          <w:color w:val="00457D"/>
          <w:sz w:val="24"/>
          <w:szCs w:val="24"/>
          <w:u w:color="00457D"/>
        </w:rPr>
        <w:t>7</w:t>
      </w:r>
    </w:p>
    <w:p w:rsidR="004B6DC2" w:rsidRDefault="00FA5053" w:rsidP="00A462EE">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400000" cy="4029763"/>
            <wp:effectExtent l="0" t="0" r="0" b="889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00" cy="4029763"/>
                    </a:xfrm>
                    <a:prstGeom prst="rect">
                      <a:avLst/>
                    </a:prstGeom>
                    <a:noFill/>
                  </pic:spPr>
                </pic:pic>
              </a:graphicData>
            </a:graphic>
          </wp:inline>
        </w:drawing>
      </w:r>
    </w:p>
    <w:p w:rsidR="00C359C9" w:rsidRDefault="00C359C9" w:rsidP="004B6DC2">
      <w:pPr>
        <w:spacing w:after="0" w:line="240" w:lineRule="auto"/>
        <w:rPr>
          <w:b/>
          <w:bCs/>
          <w:color w:val="00457D"/>
          <w:sz w:val="24"/>
          <w:szCs w:val="24"/>
          <w:u w:color="00457D"/>
        </w:rPr>
      </w:pPr>
    </w:p>
    <w:p w:rsidR="00C359C9" w:rsidRDefault="00C359C9" w:rsidP="00C359C9">
      <w:pPr>
        <w:spacing w:after="0" w:line="240" w:lineRule="auto"/>
        <w:jc w:val="center"/>
        <w:rPr>
          <w:b/>
          <w:bCs/>
          <w:color w:val="00457D"/>
          <w:sz w:val="24"/>
          <w:szCs w:val="24"/>
          <w:u w:color="00457D"/>
        </w:rPr>
      </w:pPr>
      <w:r w:rsidRPr="00D001BF">
        <w:rPr>
          <w:b/>
          <w:bCs/>
          <w:color w:val="00457D"/>
          <w:sz w:val="24"/>
          <w:szCs w:val="24"/>
          <w:u w:color="00457D"/>
        </w:rPr>
        <w:t>Figura</w:t>
      </w:r>
      <w:r>
        <w:rPr>
          <w:b/>
          <w:bCs/>
          <w:color w:val="00457D"/>
          <w:sz w:val="24"/>
          <w:szCs w:val="24"/>
          <w:u w:color="00457D"/>
        </w:rPr>
        <w:t xml:space="preserve"> 18</w:t>
      </w:r>
    </w:p>
    <w:p w:rsidR="00C359C9" w:rsidRDefault="00C359C9" w:rsidP="004B6DC2">
      <w:pPr>
        <w:spacing w:after="0" w:line="240" w:lineRule="auto"/>
        <w:rPr>
          <w:b/>
          <w:bCs/>
          <w:color w:val="00457D"/>
          <w:sz w:val="24"/>
          <w:szCs w:val="24"/>
          <w:u w:color="00457D"/>
        </w:rPr>
      </w:pPr>
    </w:p>
    <w:p w:rsidR="00C359C9" w:rsidRDefault="00C359C9" w:rsidP="00C359C9">
      <w:pPr>
        <w:spacing w:after="0" w:line="240" w:lineRule="auto"/>
        <w:jc w:val="center"/>
        <w:rPr>
          <w:b/>
          <w:bCs/>
          <w:color w:val="00457D"/>
          <w:sz w:val="24"/>
          <w:szCs w:val="24"/>
          <w:u w:color="00457D"/>
        </w:rPr>
        <w:sectPr w:rsidR="00C359C9">
          <w:pgSz w:w="11900" w:h="16840"/>
          <w:pgMar w:top="1134" w:right="1134" w:bottom="1418" w:left="1134" w:header="709" w:footer="709" w:gutter="0"/>
          <w:cols w:space="720"/>
        </w:sectPr>
      </w:pPr>
      <w:r>
        <w:rPr>
          <w:noProof/>
          <w:color w:val="FF0000"/>
        </w:rPr>
        <w:drawing>
          <wp:inline distT="0" distB="0" distL="0" distR="0">
            <wp:extent cx="5400000" cy="4029763"/>
            <wp:effectExtent l="0" t="0" r="0"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00" cy="4029763"/>
                    </a:xfrm>
                    <a:prstGeom prst="rect">
                      <a:avLst/>
                    </a:prstGeom>
                    <a:noFill/>
                  </pic:spPr>
                </pic:pic>
              </a:graphicData>
            </a:graphic>
          </wp:inline>
        </w:drawing>
      </w:r>
    </w:p>
    <w:p w:rsidR="00AC2737" w:rsidRDefault="00775180" w:rsidP="00AC2737">
      <w:pPr>
        <w:spacing w:line="240" w:lineRule="auto"/>
        <w:jc w:val="center"/>
        <w:rPr>
          <w:b/>
          <w:bCs/>
          <w:color w:val="00457D"/>
          <w:sz w:val="24"/>
          <w:szCs w:val="24"/>
          <w:u w:color="00457D"/>
        </w:rPr>
      </w:pPr>
      <w:r w:rsidRPr="00F26C68">
        <w:rPr>
          <w:b/>
          <w:bCs/>
          <w:color w:val="00457D"/>
          <w:sz w:val="24"/>
          <w:szCs w:val="24"/>
          <w:u w:color="00457D"/>
        </w:rPr>
        <w:lastRenderedPageBreak/>
        <w:t xml:space="preserve">Figura </w:t>
      </w:r>
      <w:r w:rsidR="00B12111">
        <w:rPr>
          <w:b/>
          <w:bCs/>
          <w:color w:val="00457D"/>
          <w:sz w:val="24"/>
          <w:szCs w:val="24"/>
          <w:u w:color="00457D"/>
        </w:rPr>
        <w:t>1</w:t>
      </w:r>
      <w:r w:rsidR="00C359C9">
        <w:rPr>
          <w:b/>
          <w:bCs/>
          <w:color w:val="00457D"/>
          <w:sz w:val="24"/>
          <w:szCs w:val="24"/>
          <w:u w:color="00457D"/>
        </w:rPr>
        <w:t>9</w:t>
      </w:r>
    </w:p>
    <w:p w:rsidR="004066D0" w:rsidRDefault="007663B3" w:rsidP="00AC2737">
      <w:pPr>
        <w:spacing w:line="240" w:lineRule="auto"/>
        <w:jc w:val="center"/>
        <w:rPr>
          <w:b/>
          <w:bCs/>
          <w:noProof/>
          <w:color w:val="00457D"/>
          <w:sz w:val="24"/>
          <w:szCs w:val="24"/>
          <w:u w:color="00457D"/>
        </w:rPr>
      </w:pPr>
      <w:r>
        <w:rPr>
          <w:b/>
          <w:bCs/>
          <w:noProof/>
          <w:color w:val="00457D"/>
          <w:sz w:val="24"/>
          <w:szCs w:val="24"/>
          <w:u w:color="00457D"/>
        </w:rPr>
        <w:drawing>
          <wp:inline distT="0" distB="0" distL="0" distR="0">
            <wp:extent cx="9360000" cy="5273582"/>
            <wp:effectExtent l="0" t="0" r="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60000" cy="5273582"/>
                    </a:xfrm>
                    <a:prstGeom prst="rect">
                      <a:avLst/>
                    </a:prstGeom>
                    <a:noFill/>
                  </pic:spPr>
                </pic:pic>
              </a:graphicData>
            </a:graphic>
          </wp:inline>
        </w:drawing>
      </w:r>
    </w:p>
    <w:p w:rsidR="00AC2737" w:rsidRDefault="00AC2737" w:rsidP="004B6DC2">
      <w:pPr>
        <w:spacing w:line="240" w:lineRule="auto"/>
        <w:jc w:val="center"/>
        <w:rPr>
          <w:b/>
          <w:bCs/>
          <w:color w:val="00457D"/>
          <w:sz w:val="24"/>
          <w:szCs w:val="24"/>
          <w:u w:color="00457D"/>
        </w:rPr>
        <w:sectPr w:rsidR="00AC2737" w:rsidSect="00775180">
          <w:pgSz w:w="16840" w:h="11900" w:orient="landscape"/>
          <w:pgMar w:top="1134" w:right="1134" w:bottom="1134" w:left="1418" w:header="709" w:footer="709" w:gutter="0"/>
          <w:cols w:space="720"/>
          <w:docGrid w:linePitch="299"/>
        </w:sectPr>
      </w:pPr>
    </w:p>
    <w:p w:rsidR="00FE45DD" w:rsidRPr="00FE45DD" w:rsidRDefault="004D16FF" w:rsidP="00FE45DD">
      <w:pPr>
        <w:spacing w:line="276" w:lineRule="auto"/>
        <w:jc w:val="center"/>
        <w:rPr>
          <w:color w:val="00457D"/>
        </w:rPr>
      </w:pPr>
      <w:r w:rsidRPr="00FE45DD">
        <w:rPr>
          <w:b/>
          <w:bCs/>
          <w:color w:val="00457D"/>
          <w:sz w:val="24"/>
          <w:szCs w:val="24"/>
          <w:u w:color="00457D"/>
        </w:rPr>
        <w:lastRenderedPageBreak/>
        <w:t xml:space="preserve">Tabella 1. Indicatori regionali: settimana </w:t>
      </w:r>
      <w:r w:rsidR="00FE45DD" w:rsidRPr="00FE45DD">
        <w:rPr>
          <w:b/>
          <w:bCs/>
          <w:color w:val="00457D"/>
          <w:sz w:val="24"/>
          <w:szCs w:val="24"/>
          <w:u w:color="00457D"/>
        </w:rPr>
        <w:t>2-8</w:t>
      </w:r>
      <w:r w:rsidR="00120F46" w:rsidRPr="00FE45DD">
        <w:rPr>
          <w:b/>
          <w:bCs/>
          <w:color w:val="00457D"/>
          <w:sz w:val="24"/>
          <w:szCs w:val="24"/>
          <w:u w:color="00457D"/>
        </w:rPr>
        <w:t xml:space="preserve"> marzo</w:t>
      </w:r>
      <w:r w:rsidRPr="00FE45DD">
        <w:rPr>
          <w:b/>
          <w:bCs/>
          <w:color w:val="00457D"/>
          <w:sz w:val="24"/>
          <w:szCs w:val="24"/>
          <w:u w:color="00457D"/>
        </w:rPr>
        <w:t xml:space="preserve"> 2022</w:t>
      </w:r>
    </w:p>
    <w:tbl>
      <w:tblPr>
        <w:tblW w:w="9634" w:type="dxa"/>
        <w:tblInd w:w="75" w:type="dxa"/>
        <w:tblCellMar>
          <w:left w:w="70" w:type="dxa"/>
          <w:right w:w="70" w:type="dxa"/>
        </w:tblCellMar>
        <w:tblLook w:val="04A0"/>
      </w:tblPr>
      <w:tblGrid>
        <w:gridCol w:w="2122"/>
        <w:gridCol w:w="1660"/>
        <w:gridCol w:w="1458"/>
        <w:gridCol w:w="2126"/>
        <w:gridCol w:w="2268"/>
      </w:tblGrid>
      <w:tr w:rsidR="00FE45DD" w:rsidRPr="00FE45DD" w:rsidTr="00FE45DD">
        <w:trPr>
          <w:trHeight w:val="907"/>
        </w:trPr>
        <w:tc>
          <w:tcPr>
            <w:tcW w:w="2122"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FE45DD">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FE45DD">
              <w:rPr>
                <w:rFonts w:eastAsia="Times New Roman" w:cs="Calibri"/>
                <w:b/>
                <w:bCs/>
                <w:color w:val="FFFFFF"/>
                <w:sz w:val="21"/>
                <w:szCs w:val="21"/>
                <w:bdr w:val="none" w:sz="0" w:space="0" w:color="auto"/>
              </w:rPr>
              <w:t>Casi attualmente positivi per 100.000 abitanti</w:t>
            </w:r>
          </w:p>
        </w:tc>
        <w:tc>
          <w:tcPr>
            <w:tcW w:w="1458" w:type="dxa"/>
            <w:tcBorders>
              <w:top w:val="single" w:sz="4" w:space="0" w:color="00457D"/>
              <w:left w:val="nil"/>
              <w:bottom w:val="single" w:sz="4" w:space="0" w:color="00457D"/>
              <w:right w:val="single" w:sz="4" w:space="0" w:color="FFFFFF"/>
            </w:tcBorders>
            <w:shd w:val="clear" w:color="000000" w:fill="00457D"/>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FE45DD">
              <w:rPr>
                <w:rFonts w:eastAsia="Times New Roman" w:cs="Calibri"/>
                <w:b/>
                <w:bCs/>
                <w:color w:val="FFFFFF"/>
                <w:bdr w:val="none" w:sz="0" w:space="0" w:color="auto"/>
              </w:rPr>
              <w:t xml:space="preserve">Variazione </w:t>
            </w:r>
            <w:r w:rsidRPr="00FE45DD">
              <w:rPr>
                <w:rFonts w:eastAsia="Times New Roman" w:cs="Calibri"/>
                <w:b/>
                <w:bCs/>
                <w:color w:val="FFFFFF"/>
                <w:bdr w:val="none" w:sz="0" w:space="0" w:color="auto"/>
              </w:rPr>
              <w:br/>
              <w:t>% nuovi casi</w:t>
            </w:r>
          </w:p>
        </w:tc>
        <w:tc>
          <w:tcPr>
            <w:tcW w:w="2126" w:type="dxa"/>
            <w:tcBorders>
              <w:top w:val="single" w:sz="4" w:space="0" w:color="00457D"/>
              <w:left w:val="nil"/>
              <w:bottom w:val="single" w:sz="4" w:space="0" w:color="00457D"/>
              <w:right w:val="single" w:sz="4" w:space="0" w:color="FFFFFF"/>
            </w:tcBorders>
            <w:shd w:val="clear" w:color="000000" w:fill="00457D"/>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FE45DD">
              <w:rPr>
                <w:rFonts w:eastAsia="Times New Roman" w:cs="Calibri"/>
                <w:b/>
                <w:bCs/>
                <w:color w:val="FFFFFF"/>
                <w:bdr w:val="none" w:sz="0" w:space="0" w:color="auto"/>
              </w:rPr>
              <w:t>Posti letto in area medica occupati da pazienti COVID−19</w:t>
            </w:r>
          </w:p>
        </w:tc>
        <w:tc>
          <w:tcPr>
            <w:tcW w:w="2268" w:type="dxa"/>
            <w:tcBorders>
              <w:top w:val="single" w:sz="4" w:space="0" w:color="00457D"/>
              <w:left w:val="nil"/>
              <w:bottom w:val="single" w:sz="4" w:space="0" w:color="00457D"/>
              <w:right w:val="single" w:sz="4" w:space="0" w:color="00457D"/>
            </w:tcBorders>
            <w:shd w:val="clear" w:color="000000" w:fill="00457D"/>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FE45DD">
              <w:rPr>
                <w:rFonts w:eastAsia="Times New Roman" w:cs="Calibri"/>
                <w:b/>
                <w:bCs/>
                <w:color w:val="FFFFFF"/>
                <w:bdr w:val="none" w:sz="0" w:space="0" w:color="auto"/>
              </w:rPr>
              <w:t xml:space="preserve">Posti letto in terapia intensiva occupati da </w:t>
            </w:r>
            <w:r w:rsidRPr="00FE45DD">
              <w:rPr>
                <w:rFonts w:eastAsia="Times New Roman" w:cs="Calibri"/>
                <w:b/>
                <w:bCs/>
                <w:color w:val="FFFFFF"/>
                <w:bdr w:val="none" w:sz="0" w:space="0" w:color="auto"/>
              </w:rPr>
              <w:br/>
              <w:t>pazienti COVID−19</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5.120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-8,8%</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20,1%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7,7%</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3.569</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2,5%</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24,0%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1,3%</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2.536</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16,9%</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26,4%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7,4%</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2.160</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7,7%</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13,6%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4,6%</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613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-10,4%</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12,7%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7,5%</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1.415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-7,8%</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12,6%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5,1%</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1.811</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-12,7%</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16,5%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9,8%</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834</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-2,7%</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14,9%</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7,3%</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1.113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-2,7%</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7,9%</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4,5%</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949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-0,8%</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16,7%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6,6%</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1.980</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8,9%</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15,3%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5,1%</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977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-4,1%</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10,2%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5,9%</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872</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7,9%</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12,6%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1,0%</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521</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-7,8%</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10,6%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2,2%</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1.900</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12,0%</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18,6%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6,2%</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1.516</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7,5%</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20,2%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9,8%</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4.645</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4,5%</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23,8%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7,4%</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651</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9,3%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13,8%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8,8%</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1.220</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37,4%</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21,0%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7,0%</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1.057</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22,8%</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9,8%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5,9%</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E45DD">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1.009</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E45DD">
              <w:rPr>
                <w:rFonts w:eastAsia="Times New Roman" w:cs="Calibri"/>
                <w:color w:val="9C0006"/>
                <w:bdr w:val="none" w:sz="0" w:space="0" w:color="auto"/>
              </w:rPr>
              <w:t>0,2%</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8,2%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E45DD">
              <w:rPr>
                <w:rFonts w:eastAsia="Times New Roman" w:cs="Calibri"/>
                <w:color w:val="006100"/>
                <w:bdr w:val="none" w:sz="0" w:space="0" w:color="auto"/>
              </w:rPr>
              <w:t>3,7%</w:t>
            </w:r>
          </w:p>
        </w:tc>
      </w:tr>
      <w:tr w:rsidR="00FE45DD" w:rsidRPr="00FE45DD" w:rsidTr="00FE45DD">
        <w:trPr>
          <w:trHeight w:val="340"/>
        </w:trPr>
        <w:tc>
          <w:tcPr>
            <w:tcW w:w="2122" w:type="dxa"/>
            <w:tcBorders>
              <w:top w:val="nil"/>
              <w:left w:val="single" w:sz="4" w:space="0" w:color="00457D"/>
              <w:bottom w:val="single" w:sz="4" w:space="0" w:color="00457D"/>
              <w:right w:val="single" w:sz="4" w:space="0" w:color="00457D"/>
            </w:tcBorders>
            <w:shd w:val="clear" w:color="000000" w:fill="00457D"/>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FE45DD">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FE45DD">
              <w:rPr>
                <w:rFonts w:eastAsia="Times New Roman" w:cs="Calibri"/>
                <w:b/>
                <w:bCs/>
                <w:color w:val="006100"/>
                <w:bdr w:val="none" w:sz="0" w:space="0" w:color="auto"/>
              </w:rPr>
              <w:t>1.696</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FE45DD">
              <w:rPr>
                <w:rFonts w:eastAsia="Times New Roman" w:cs="Calibri"/>
                <w:b/>
                <w:bCs/>
                <w:color w:val="9C0006"/>
                <w:bdr w:val="none" w:sz="0" w:space="0" w:color="auto"/>
              </w:rPr>
              <w:t>1,5%</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FE45DD">
              <w:rPr>
                <w:rFonts w:eastAsia="Times New Roman" w:cs="Calibri"/>
                <w:b/>
                <w:bCs/>
                <w:color w:val="006100"/>
                <w:bdr w:val="none" w:sz="0" w:space="0" w:color="auto"/>
              </w:rPr>
              <w:t>13,5%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FE45DD">
              <w:rPr>
                <w:rFonts w:eastAsia="Times New Roman" w:cs="Calibri"/>
                <w:b/>
                <w:bCs/>
                <w:color w:val="006100"/>
                <w:bdr w:val="none" w:sz="0" w:space="0" w:color="auto"/>
              </w:rPr>
              <w:t>6,2%</w:t>
            </w:r>
          </w:p>
        </w:tc>
      </w:tr>
      <w:tr w:rsidR="00FE45DD" w:rsidRPr="00FE45DD" w:rsidTr="00FE45DD">
        <w:trPr>
          <w:trHeight w:val="1710"/>
        </w:trPr>
        <w:tc>
          <w:tcPr>
            <w:tcW w:w="9634"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rsidR="00FE45DD" w:rsidRPr="00FE45DD" w:rsidRDefault="00FE45DD" w:rsidP="00FE45D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FE45DD">
              <w:rPr>
                <w:rFonts w:eastAsia="Times New Roman" w:cs="Calibri"/>
                <w:color w:val="auto"/>
                <w:sz w:val="20"/>
                <w:szCs w:val="20"/>
                <w:bdr w:val="none" w:sz="0" w:space="0" w:color="auto"/>
              </w:rPr>
              <w:t>Nota: nella prima colonna i colori rosso, verde e giallo indicano rispettivamente una performance regionale in peggioramento, in miglioramento o stabile, rispetto alla settimana precedente.</w:t>
            </w:r>
            <w:r w:rsidRPr="00FE45DD">
              <w:rPr>
                <w:rFonts w:eastAsia="Times New Roman" w:cs="Calibri"/>
                <w:color w:val="auto"/>
                <w:sz w:val="20"/>
                <w:szCs w:val="20"/>
                <w:bdr w:val="none" w:sz="0" w:space="0" w:color="auto"/>
              </w:rPr>
              <w:br/>
              <w:t>Nella seconda colonna i colori rosso e verde indicano rispettivamente un aumento o una diminuzione percentuale dei nuovi casi rispetto alla settimana precedente.</w:t>
            </w:r>
            <w:r w:rsidRPr="00FE45DD">
              <w:rPr>
                <w:rFonts w:eastAsia="Times New Roman" w:cs="Calibri"/>
                <w:color w:val="auto"/>
                <w:sz w:val="20"/>
                <w:szCs w:val="20"/>
                <w:bdr w:val="none" w:sz="0" w:space="0" w:color="auto"/>
              </w:rPr>
              <w:br/>
              <w:t xml:space="preserve">Nelle ultime 2 colonne i colori rosso e verde indicano il superamento, o meno, della soglia di saturazione del 15% per l’area medica e del 10% per le terapie intensive (dati Agenas). </w:t>
            </w:r>
          </w:p>
        </w:tc>
      </w:tr>
    </w:tbl>
    <w:p w:rsidR="004D16FF" w:rsidRDefault="004D16FF" w:rsidP="004D16FF">
      <w:pPr>
        <w:spacing w:after="0" w:line="240" w:lineRule="auto"/>
      </w:pPr>
      <w:r>
        <w:br w:type="page"/>
      </w:r>
    </w:p>
    <w:p w:rsidR="004D16FF" w:rsidRPr="00F441F1" w:rsidRDefault="004D16FF" w:rsidP="004D16FF">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settimana suddivisi per provincia</w:t>
      </w:r>
    </w:p>
    <w:p w:rsidR="004D16FF" w:rsidRDefault="004D16FF" w:rsidP="004D16FF">
      <w:pPr>
        <w:spacing w:after="80" w:line="240" w:lineRule="auto"/>
        <w:jc w:val="center"/>
        <w:rPr>
          <w:b/>
          <w:bCs/>
          <w:color w:val="00457D"/>
          <w:spacing w:val="-3"/>
          <w:sz w:val="10"/>
          <w:szCs w:val="10"/>
          <w:u w:color="00457D"/>
        </w:rPr>
      </w:pPr>
    </w:p>
    <w:tbl>
      <w:tblPr>
        <w:tblStyle w:val="TableNormal"/>
        <w:tblW w:w="791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tblPr>
      <w:tblGrid>
        <w:gridCol w:w="2000"/>
        <w:gridCol w:w="2248"/>
        <w:gridCol w:w="1958"/>
        <w:gridCol w:w="1707"/>
      </w:tblGrid>
      <w:tr w:rsidR="00745BD1" w:rsidRPr="005672CD" w:rsidTr="00745BD1">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5672CD" w:rsidRDefault="00745BD1" w:rsidP="00775550">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5672CD" w:rsidRDefault="00745BD1" w:rsidP="00775550">
            <w:pPr>
              <w:spacing w:after="0" w:line="240" w:lineRule="auto"/>
              <w:rPr>
                <w:rFonts w:cs="Calibri"/>
                <w:szCs w:val="20"/>
              </w:rPr>
            </w:pPr>
            <w:r w:rsidRPr="005672CD">
              <w:rPr>
                <w:rFonts w:cs="Calibri"/>
                <w:b/>
                <w:bCs/>
                <w:color w:val="FFFFFF"/>
                <w:szCs w:val="20"/>
                <w:u w:color="FFFFFF"/>
              </w:rPr>
              <w:t>Provincia</w:t>
            </w:r>
          </w:p>
        </w:tc>
        <w:tc>
          <w:tcPr>
            <w:tcW w:w="1958"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rsidR="00745BD1" w:rsidRPr="005672CD" w:rsidRDefault="00745BD1" w:rsidP="00FE45DD">
            <w:pPr>
              <w:spacing w:after="0" w:line="240" w:lineRule="auto"/>
              <w:jc w:val="center"/>
              <w:rPr>
                <w:rFonts w:cs="Calibri"/>
                <w:szCs w:val="20"/>
              </w:rPr>
            </w:pPr>
            <w:r w:rsidRPr="005672CD">
              <w:rPr>
                <w:rFonts w:cs="Calibri"/>
                <w:b/>
                <w:bCs/>
                <w:color w:val="FFFFFF"/>
                <w:szCs w:val="20"/>
                <w:u w:color="FFFFFF"/>
              </w:rPr>
              <w:t xml:space="preserve">Nuovi casi per 100.000 abitanti </w:t>
            </w:r>
            <w:r>
              <w:rPr>
                <w:rFonts w:cs="Calibri"/>
                <w:b/>
                <w:bCs/>
                <w:color w:val="FFFFFF"/>
                <w:szCs w:val="20"/>
                <w:u w:color="FFFFFF"/>
              </w:rPr>
              <w:br/>
              <w:t>2-8 marzo 2022</w:t>
            </w:r>
          </w:p>
        </w:tc>
        <w:tc>
          <w:tcPr>
            <w:tcW w:w="1707"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rsidR="00745BD1" w:rsidRPr="005672CD" w:rsidRDefault="00745BD1" w:rsidP="00745BD1">
            <w:pPr>
              <w:spacing w:after="0" w:line="240" w:lineRule="auto"/>
              <w:jc w:val="center"/>
              <w:rPr>
                <w:rFonts w:cs="Calibri"/>
                <w:b/>
                <w:bCs/>
                <w:color w:val="FFFFFF"/>
                <w:szCs w:val="20"/>
                <w:u w:color="FFFFFF"/>
              </w:rPr>
            </w:pPr>
            <w:r>
              <w:rPr>
                <w:rFonts w:cs="Calibri"/>
                <w:b/>
                <w:bCs/>
                <w:color w:val="FFFFFF"/>
                <w:szCs w:val="20"/>
                <w:u w:color="FFFFFF"/>
              </w:rPr>
              <w:t>Variazione % nuovi casi</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Chieti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564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-2,2%</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L'Aquila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556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-7,4%</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Teramo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550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-21,5%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Pescara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516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-3,7%</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Matera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735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hd w:val="clear" w:color="auto" w:fill="FFC7CE"/>
              <w:spacing w:after="0" w:line="240" w:lineRule="auto"/>
              <w:contextualSpacing/>
              <w:jc w:val="center"/>
              <w:rPr>
                <w:rFonts w:cs="Calibri"/>
              </w:rPr>
            </w:pPr>
            <w:r>
              <w:rPr>
                <w:rFonts w:cs="Calibri"/>
                <w:color w:val="9C0006"/>
              </w:rPr>
              <w:t>23,6%</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Potenza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548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-8,1%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Reggio di Calabria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920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-11,1%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Vibo Valentia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849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-1,3%</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Crotone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669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hd w:val="clear" w:color="auto" w:fill="FFC7CE"/>
              <w:spacing w:after="0" w:line="240" w:lineRule="auto"/>
              <w:contextualSpacing/>
              <w:jc w:val="center"/>
              <w:rPr>
                <w:rFonts w:cs="Calibri"/>
              </w:rPr>
            </w:pPr>
            <w:r>
              <w:rPr>
                <w:rFonts w:cs="Calibri"/>
                <w:color w:val="9C0006"/>
              </w:rPr>
              <w:t>4,3%</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Cosenza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631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97,6%</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Catanzaro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336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32,8%</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Benevento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630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37,5%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Caserta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563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14,9%</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Avellino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546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31,8%</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Salerno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467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2,1%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Napoli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383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0,5%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Bologna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376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-5,6%</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Ravenna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374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-8,5%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Forlì-Cesena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371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6,6%</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Rimini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351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-9,4%</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Ferrara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329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-19,5%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Reggio nell'Emilia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312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-10,8%</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Modena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263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-9,1%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Parma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253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-17,7%</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Piacenza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215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1,5%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Trieste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457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11,3%</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Gorizia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298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-9,5%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Udine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281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-11,2%</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Pordenone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275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-18,5%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Rieti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560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-16,3%</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Frosinone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559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1,3%</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Latina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555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-5,8%</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Roma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457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-15,1%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Viterbo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387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-13,4%</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Genova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491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2,9%</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Savona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412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-0,2%</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La Spezia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405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-12,0%</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lastRenderedPageBreak/>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Imperia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267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-19,0%</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Mantova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359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-6,5%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Cremona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317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-12,6%</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Pavia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301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-5,1%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Como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300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2,4%</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Milano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300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3,0%</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Varese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290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-12,5%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Monza e della Brianza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285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Brescia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273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-7,3%</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Sondrio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256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-5,1%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Lecco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248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-2,1%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Lodi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226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-13,9%</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Bergamo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176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-4,5%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Ascoli Piceno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795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9,8%</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Fermo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763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-5,1%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Macerata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634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-9,5%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Ancona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633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-1,2%</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Pesaro e Urbino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433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-0,8%</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Campobasso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645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10,1%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Isernia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559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5,0%</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Bolzano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675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7,9%</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Trento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343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-7,8%</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Verbano-Cusio-Ossola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379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-5,0%</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Alessandria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350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1,5%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Torino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297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hd w:val="clear" w:color="auto" w:fill="C6EFCE"/>
              <w:spacing w:after="0" w:line="240" w:lineRule="auto"/>
              <w:contextualSpacing/>
              <w:jc w:val="center"/>
              <w:rPr>
                <w:rFonts w:cs="Calibri"/>
              </w:rPr>
            </w:pPr>
            <w:r>
              <w:rPr>
                <w:rFonts w:cs="Calibri"/>
                <w:color w:val="006100"/>
              </w:rPr>
              <w:t>-6,6%</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Vercelli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288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8,4%</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Asti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246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-10,6%</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Biella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228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-12,7%</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Novara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213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-6,2%</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Cuneo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179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-2,5%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Lecce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1.035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22,0%</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Foggia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579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-0,2%</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Bari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559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17,3%</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Taranto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518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2,0%</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Brindisi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491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4,0%</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Barletta-Andria-Trani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473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6,6%</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Oristano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735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-7,0%</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Sassari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668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35,7%</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Cagliari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518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5,0%</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lastRenderedPageBreak/>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Sud Sardegna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464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-11,0%</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Nuoro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245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-11,9%</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Agrigento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924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38,8%</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Messina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906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1,1%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Ragusa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859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21,8%</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Trapani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842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48,3%</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Siracusa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704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-13,6%</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Enna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633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-3,1%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Palermo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633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-6,8%</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Caltanissetta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629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7,2%</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Catania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449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-8,1%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Grosseto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737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27,6%</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Siena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717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10,1%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Lucca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668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17,7%</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Arezzo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636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2,6%</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Livorno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582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8,5%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Massa Carrara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553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15,3%</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Pisa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469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19,0%</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Pistoia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366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-10,3%</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Firenze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362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5,5%</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Prato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246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-7,9%</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Perugia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815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42,7%</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Terni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716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22,1%</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Aosta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220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22,8%</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Venezia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632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7,9%</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Padova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568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2,7%</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Vicenza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485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1,3%</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Treviso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451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FE45DD" w:rsidRDefault="00FE45DD" w:rsidP="00FE45DD">
            <w:pPr>
              <w:spacing w:after="0" w:line="240" w:lineRule="auto"/>
              <w:contextualSpacing/>
              <w:jc w:val="center"/>
              <w:rPr>
                <w:rFonts w:cs="Calibri"/>
              </w:rPr>
            </w:pPr>
            <w:r>
              <w:rPr>
                <w:rFonts w:cs="Calibri"/>
                <w:color w:val="9C0006"/>
              </w:rPr>
              <w:t>2,7%</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Rovigo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418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-10,4%</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Belluno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390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-21,3%</w:t>
            </w:r>
          </w:p>
        </w:tc>
      </w:tr>
      <w:tr w:rsidR="00FE45DD"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rPr>
                <w:rFonts w:cs="Calibri"/>
              </w:rPr>
            </w:pPr>
            <w:r>
              <w:rPr>
                <w:rFonts w:cs="Calibri"/>
              </w:rPr>
              <w:t>Verona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FE45DD" w:rsidRDefault="00FE45DD" w:rsidP="00FE45DD">
            <w:pPr>
              <w:spacing w:after="0" w:line="240" w:lineRule="auto"/>
              <w:contextualSpacing/>
              <w:jc w:val="center"/>
              <w:rPr>
                <w:rFonts w:cs="Calibri"/>
              </w:rPr>
            </w:pPr>
            <w:r>
              <w:rPr>
                <w:rFonts w:cs="Calibri"/>
              </w:rPr>
              <w:t>389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FE45DD" w:rsidRDefault="00FE45DD" w:rsidP="00FE45DD">
            <w:pPr>
              <w:spacing w:after="0" w:line="240" w:lineRule="auto"/>
              <w:contextualSpacing/>
              <w:jc w:val="center"/>
              <w:rPr>
                <w:rFonts w:cs="Calibri"/>
              </w:rPr>
            </w:pPr>
            <w:r>
              <w:rPr>
                <w:rFonts w:cs="Calibri"/>
                <w:color w:val="006100"/>
              </w:rPr>
              <w:t>-13,3%</w:t>
            </w:r>
          </w:p>
        </w:tc>
      </w:tr>
      <w:tr w:rsidR="00D91289" w:rsidRPr="005672CD" w:rsidTr="00D91289">
        <w:tblPrEx>
          <w:shd w:val="clear" w:color="auto" w:fill="CDD4E9"/>
        </w:tblPrEx>
        <w:trPr>
          <w:trHeight w:val="20"/>
          <w:jc w:val="center"/>
        </w:trPr>
        <w:tc>
          <w:tcPr>
            <w:tcW w:w="7913" w:type="dxa"/>
            <w:gridSpan w:val="4"/>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1289" w:rsidRDefault="002B5E81" w:rsidP="00FE45DD">
            <w:pPr>
              <w:spacing w:after="0" w:line="240" w:lineRule="auto"/>
              <w:contextualSpacing/>
              <w:rPr>
                <w:rFonts w:cs="Calibri"/>
              </w:rPr>
            </w:pPr>
            <w:r w:rsidRPr="00120F46">
              <w:rPr>
                <w:rFonts w:eastAsia="Times New Roman" w:cs="Calibri"/>
                <w:color w:val="auto"/>
                <w:sz w:val="20"/>
                <w:szCs w:val="20"/>
                <w:bdr w:val="none" w:sz="0" w:space="0" w:color="auto"/>
              </w:rPr>
              <w:t xml:space="preserve">Nella </w:t>
            </w:r>
            <w:r>
              <w:rPr>
                <w:rFonts w:eastAsia="Times New Roman" w:cs="Calibri"/>
                <w:color w:val="auto"/>
                <w:sz w:val="20"/>
                <w:szCs w:val="20"/>
                <w:bdr w:val="none" w:sz="0" w:space="0" w:color="auto"/>
              </w:rPr>
              <w:t>quarta</w:t>
            </w:r>
            <w:r w:rsidRPr="00120F46">
              <w:rPr>
                <w:rFonts w:eastAsia="Times New Roman" w:cs="Calibri"/>
                <w:color w:val="auto"/>
                <w:sz w:val="20"/>
                <w:szCs w:val="20"/>
                <w:bdr w:val="none" w:sz="0" w:space="0" w:color="auto"/>
              </w:rPr>
              <w:t xml:space="preserve"> colonna </w:t>
            </w:r>
            <w:r>
              <w:rPr>
                <w:rFonts w:eastAsia="Times New Roman" w:cs="Calibri"/>
                <w:color w:val="auto"/>
                <w:sz w:val="20"/>
                <w:szCs w:val="20"/>
                <w:bdr w:val="none" w:sz="0" w:space="0" w:color="auto"/>
              </w:rPr>
              <w:t xml:space="preserve">i colori </w:t>
            </w:r>
            <w:r w:rsidRPr="00120F46">
              <w:rPr>
                <w:rFonts w:eastAsia="Times New Roman" w:cs="Calibri"/>
                <w:color w:val="auto"/>
                <w:sz w:val="20"/>
                <w:szCs w:val="20"/>
                <w:bdr w:val="none" w:sz="0" w:space="0" w:color="auto"/>
              </w:rPr>
              <w:t>rosso e verde indicano rispettivamente un aumento o una diminuzione</w:t>
            </w:r>
            <w:r>
              <w:rPr>
                <w:rFonts w:eastAsia="Times New Roman" w:cs="Calibri"/>
                <w:color w:val="auto"/>
                <w:sz w:val="20"/>
                <w:szCs w:val="20"/>
                <w:bdr w:val="none" w:sz="0" w:space="0" w:color="auto"/>
              </w:rPr>
              <w:t xml:space="preserve"> percentuale dei</w:t>
            </w:r>
            <w:r w:rsidRPr="00120F46">
              <w:rPr>
                <w:rFonts w:eastAsia="Times New Roman" w:cs="Calibri"/>
                <w:color w:val="auto"/>
                <w:sz w:val="20"/>
                <w:szCs w:val="20"/>
                <w:bdr w:val="none" w:sz="0" w:space="0" w:color="auto"/>
              </w:rPr>
              <w:t xml:space="preserve"> nuovi casi rispetto alla settimana precedente.</w:t>
            </w:r>
          </w:p>
        </w:tc>
      </w:tr>
    </w:tbl>
    <w:p w:rsidR="004D16FF" w:rsidRDefault="004D16FF" w:rsidP="004D16FF">
      <w:pPr>
        <w:widowControl w:val="0"/>
        <w:spacing w:after="80" w:line="240" w:lineRule="auto"/>
        <w:jc w:val="center"/>
      </w:pPr>
    </w:p>
    <w:p w:rsidR="004D16FF" w:rsidRPr="00234B97" w:rsidRDefault="004D16FF" w:rsidP="004D16FF"/>
    <w:p w:rsidR="00764162" w:rsidRPr="005672CD" w:rsidRDefault="00764162"/>
    <w:p w:rsidR="005E38B7" w:rsidRDefault="005E38B7" w:rsidP="005E38B7">
      <w:pPr>
        <w:widowControl w:val="0"/>
        <w:spacing w:after="80" w:line="240" w:lineRule="auto"/>
        <w:jc w:val="center"/>
      </w:pPr>
    </w:p>
    <w:p w:rsidR="005E38B7" w:rsidRPr="00234B97" w:rsidRDefault="005E38B7"/>
    <w:sectPr w:rsidR="005E38B7" w:rsidRPr="00234B97" w:rsidSect="0033230C">
      <w:pgSz w:w="11900" w:h="16840"/>
      <w:pgMar w:top="1134" w:right="1134" w:bottom="1418"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3F2" w:rsidRDefault="00F853F2">
      <w:pPr>
        <w:spacing w:after="0" w:line="240" w:lineRule="auto"/>
      </w:pPr>
      <w:r>
        <w:separator/>
      </w:r>
    </w:p>
  </w:endnote>
  <w:endnote w:type="continuationSeparator" w:id="1">
    <w:p w:rsidR="00F853F2" w:rsidRDefault="00F853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3F2" w:rsidRDefault="00F853F2">
      <w:pPr>
        <w:spacing w:after="0" w:line="240" w:lineRule="auto"/>
      </w:pPr>
      <w:r>
        <w:separator/>
      </w:r>
    </w:p>
  </w:footnote>
  <w:footnote w:type="continuationSeparator" w:id="1">
    <w:p w:rsidR="00F853F2" w:rsidRDefault="00F853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719" w:rsidRPr="00526970" w:rsidRDefault="00B02719" w:rsidP="00F02206">
    <w:pPr>
      <w:pStyle w:val="Intestazione"/>
      <w:spacing w:after="160"/>
      <w:jc w:val="center"/>
      <w:rPr>
        <w:b/>
        <w:color w:val="FF0000"/>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6765"/>
    <w:multiLevelType w:val="hybridMultilevel"/>
    <w:tmpl w:val="BA5608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4D921CF"/>
    <w:multiLevelType w:val="hybridMultilevel"/>
    <w:tmpl w:val="67825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E31B35"/>
    <w:multiLevelType w:val="hybridMultilevel"/>
    <w:tmpl w:val="104A42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075A29E6"/>
    <w:multiLevelType w:val="hybridMultilevel"/>
    <w:tmpl w:val="347490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07A3259B"/>
    <w:multiLevelType w:val="hybridMultilevel"/>
    <w:tmpl w:val="D676E8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0839119D"/>
    <w:multiLevelType w:val="hybridMultilevel"/>
    <w:tmpl w:val="DD3E50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0B514920"/>
    <w:multiLevelType w:val="hybridMultilevel"/>
    <w:tmpl w:val="3F8C4CC8"/>
    <w:numStyleLink w:val="Stileimportato1"/>
  </w:abstractNum>
  <w:abstractNum w:abstractNumId="8">
    <w:nsid w:val="0E3F3A88"/>
    <w:multiLevelType w:val="multilevel"/>
    <w:tmpl w:val="8A0C57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nsid w:val="0F8A42AC"/>
    <w:multiLevelType w:val="hybridMultilevel"/>
    <w:tmpl w:val="E5D47D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106E78D2"/>
    <w:multiLevelType w:val="multilevel"/>
    <w:tmpl w:val="DB12C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109C76B5"/>
    <w:multiLevelType w:val="hybridMultilevel"/>
    <w:tmpl w:val="988EFE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7124B2D"/>
    <w:multiLevelType w:val="hybridMultilevel"/>
    <w:tmpl w:val="D040A854"/>
    <w:numStyleLink w:val="Stileimportato2"/>
  </w:abstractNum>
  <w:abstractNum w:abstractNumId="13">
    <w:nsid w:val="17750E47"/>
    <w:multiLevelType w:val="hybridMultilevel"/>
    <w:tmpl w:val="1A22E916"/>
    <w:lvl w:ilvl="0" w:tplc="FE56F358">
      <w:start w:val="27"/>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91273B9"/>
    <w:multiLevelType w:val="hybridMultilevel"/>
    <w:tmpl w:val="9384A2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19881AF1"/>
    <w:multiLevelType w:val="hybridMultilevel"/>
    <w:tmpl w:val="9A009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23287655"/>
    <w:multiLevelType w:val="hybridMultilevel"/>
    <w:tmpl w:val="0DB40BD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295D7E40"/>
    <w:multiLevelType w:val="multilevel"/>
    <w:tmpl w:val="6AA2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694DC2"/>
    <w:multiLevelType w:val="hybridMultilevel"/>
    <w:tmpl w:val="0A6AEDA4"/>
    <w:lvl w:ilvl="0" w:tplc="04100001">
      <w:start w:val="1"/>
      <w:numFmt w:val="bullet"/>
      <w:lvlText w:val=""/>
      <w:lvlJc w:val="left"/>
      <w:pPr>
        <w:ind w:left="360" w:hanging="360"/>
      </w:pPr>
      <w:rPr>
        <w:rFonts w:ascii="Symbol" w:hAnsi="Symbol" w:hint="default"/>
      </w:rPr>
    </w:lvl>
    <w:lvl w:ilvl="1" w:tplc="75E2D668">
      <w:start w:val="1"/>
      <w:numFmt w:val="bullet"/>
      <w:lvlText w:val="o"/>
      <w:lvlJc w:val="left"/>
      <w:pPr>
        <w:ind w:left="1080" w:hanging="360"/>
      </w:pPr>
      <w:rPr>
        <w:rFonts w:ascii="Courier New" w:hAnsi="Courier New" w:cs="Courier New" w:hint="default"/>
        <w:color w:val="auto"/>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2AD43ECE"/>
    <w:multiLevelType w:val="hybridMultilevel"/>
    <w:tmpl w:val="5A2EED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2D776AB5"/>
    <w:multiLevelType w:val="hybridMultilevel"/>
    <w:tmpl w:val="F2B829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nsid w:val="381B2825"/>
    <w:multiLevelType w:val="hybridMultilevel"/>
    <w:tmpl w:val="DD92D44C"/>
    <w:lvl w:ilvl="0" w:tplc="E8EC5E10">
      <w:numFmt w:val="bullet"/>
      <w:lvlText w:val=""/>
      <w:lvlJc w:val="left"/>
      <w:pPr>
        <w:ind w:left="405" w:hanging="405"/>
      </w:pPr>
      <w:rPr>
        <w:rFonts w:ascii="Symbol" w:eastAsia="Arial Unicode MS" w:hAnsi="Symbol" w:cs="Arial Unicode M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388A3E9A"/>
    <w:multiLevelType w:val="hybridMultilevel"/>
    <w:tmpl w:val="A0849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B614729"/>
    <w:multiLevelType w:val="multilevel"/>
    <w:tmpl w:val="524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FE3173C"/>
    <w:multiLevelType w:val="hybridMultilevel"/>
    <w:tmpl w:val="E4E27152"/>
    <w:lvl w:ilvl="0" w:tplc="E9C279FA">
      <w:start w:val="1"/>
      <w:numFmt w:val="bullet"/>
      <w:lvlText w:val=""/>
      <w:lvlJc w:val="left"/>
      <w:pPr>
        <w:ind w:left="360" w:hanging="360"/>
      </w:pPr>
      <w:rPr>
        <w:rFonts w:ascii="Symbol" w:hAnsi="Symbol" w:hint="default"/>
        <w:sz w:val="22"/>
        <w:szCs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412737E8"/>
    <w:multiLevelType w:val="hybridMultilevel"/>
    <w:tmpl w:val="E8BC10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nsid w:val="431C5E63"/>
    <w:multiLevelType w:val="hybridMultilevel"/>
    <w:tmpl w:val="B26A3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B734450"/>
    <w:multiLevelType w:val="hybridMultilevel"/>
    <w:tmpl w:val="A300C374"/>
    <w:lvl w:ilvl="0" w:tplc="E77E4E2C">
      <w:start w:val="1"/>
      <w:numFmt w:val="bullet"/>
      <w:lvlText w:val=""/>
      <w:lvlJc w:val="left"/>
      <w:pPr>
        <w:ind w:left="360" w:hanging="360"/>
      </w:pPr>
      <w:rPr>
        <w:rFonts w:ascii="Symbol" w:hAnsi="Symbol" w:hint="default"/>
        <w:sz w:val="22"/>
        <w:szCs w:val="22"/>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5BF17BDB"/>
    <w:multiLevelType w:val="multilevel"/>
    <w:tmpl w:val="9A6C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DED07A2"/>
    <w:multiLevelType w:val="multilevel"/>
    <w:tmpl w:val="FDC64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Unicode MS"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BD4C86"/>
    <w:multiLevelType w:val="hybridMultilevel"/>
    <w:tmpl w:val="DB3626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5ECF6B11"/>
    <w:multiLevelType w:val="hybridMultilevel"/>
    <w:tmpl w:val="0CCC3E4C"/>
    <w:lvl w:ilvl="0" w:tplc="74A8E13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4">
    <w:nsid w:val="60D7601C"/>
    <w:multiLevelType w:val="multilevel"/>
    <w:tmpl w:val="99ACE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nsid w:val="6209477B"/>
    <w:multiLevelType w:val="hybridMultilevel"/>
    <w:tmpl w:val="FE187B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663D0332"/>
    <w:multiLevelType w:val="hybridMultilevel"/>
    <w:tmpl w:val="7980C6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nsid w:val="6E6B5B8C"/>
    <w:multiLevelType w:val="hybridMultilevel"/>
    <w:tmpl w:val="9170FCCE"/>
    <w:lvl w:ilvl="0" w:tplc="550AD268">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07869D4"/>
    <w:multiLevelType w:val="hybridMultilevel"/>
    <w:tmpl w:val="528EA34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39">
    <w:nsid w:val="712555B3"/>
    <w:multiLevelType w:val="hybridMultilevel"/>
    <w:tmpl w:val="035AFD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nsid w:val="753B2B54"/>
    <w:multiLevelType w:val="hybridMultilevel"/>
    <w:tmpl w:val="2BA026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nsid w:val="7A3F26CE"/>
    <w:multiLevelType w:val="multilevel"/>
    <w:tmpl w:val="E4B0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A9500E3"/>
    <w:multiLevelType w:val="hybridMultilevel"/>
    <w:tmpl w:val="6B88BF60"/>
    <w:lvl w:ilvl="0" w:tplc="AD087EB6">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CDC63F2"/>
    <w:multiLevelType w:val="hybridMultilevel"/>
    <w:tmpl w:val="F53A4D0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4">
    <w:nsid w:val="7F6D567A"/>
    <w:multiLevelType w:val="hybridMultilevel"/>
    <w:tmpl w:val="7DE8B6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3"/>
  </w:num>
  <w:num w:numId="4">
    <w:abstractNumId w:val="12"/>
  </w:num>
  <w:num w:numId="5">
    <w:abstractNumId w:val="14"/>
  </w:num>
  <w:num w:numId="6">
    <w:abstractNumId w:val="40"/>
  </w:num>
  <w:num w:numId="7">
    <w:abstractNumId w:val="21"/>
  </w:num>
  <w:num w:numId="8">
    <w:abstractNumId w:val="2"/>
  </w:num>
  <w:num w:numId="9">
    <w:abstractNumId w:val="32"/>
  </w:num>
  <w:num w:numId="10">
    <w:abstractNumId w:val="6"/>
  </w:num>
  <w:num w:numId="11">
    <w:abstractNumId w:val="35"/>
  </w:num>
  <w:num w:numId="12">
    <w:abstractNumId w:val="0"/>
  </w:num>
  <w:num w:numId="13">
    <w:abstractNumId w:val="9"/>
  </w:num>
  <w:num w:numId="14">
    <w:abstractNumId w:val="26"/>
  </w:num>
  <w:num w:numId="15">
    <w:abstractNumId w:val="29"/>
  </w:num>
  <w:num w:numId="16">
    <w:abstractNumId w:val="11"/>
  </w:num>
  <w:num w:numId="17">
    <w:abstractNumId w:val="5"/>
  </w:num>
  <w:num w:numId="18">
    <w:abstractNumId w:val="15"/>
  </w:num>
  <w:num w:numId="19">
    <w:abstractNumId w:val="25"/>
  </w:num>
  <w:num w:numId="20">
    <w:abstractNumId w:val="4"/>
  </w:num>
  <w:num w:numId="21">
    <w:abstractNumId w:val="28"/>
  </w:num>
  <w:num w:numId="22">
    <w:abstractNumId w:val="18"/>
  </w:num>
  <w:num w:numId="23">
    <w:abstractNumId w:val="20"/>
  </w:num>
  <w:num w:numId="24">
    <w:abstractNumId w:val="24"/>
  </w:num>
  <w:num w:numId="25">
    <w:abstractNumId w:val="1"/>
  </w:num>
  <w:num w:numId="26">
    <w:abstractNumId w:val="23"/>
  </w:num>
  <w:num w:numId="27">
    <w:abstractNumId w:val="8"/>
  </w:num>
  <w:num w:numId="28">
    <w:abstractNumId w:val="34"/>
  </w:num>
  <w:num w:numId="29">
    <w:abstractNumId w:val="27"/>
  </w:num>
  <w:num w:numId="30">
    <w:abstractNumId w:val="10"/>
  </w:num>
  <w:num w:numId="31">
    <w:abstractNumId w:val="19"/>
  </w:num>
  <w:num w:numId="32">
    <w:abstractNumId w:val="41"/>
  </w:num>
  <w:num w:numId="33">
    <w:abstractNumId w:val="37"/>
  </w:num>
  <w:num w:numId="34">
    <w:abstractNumId w:val="36"/>
  </w:num>
  <w:num w:numId="35">
    <w:abstractNumId w:val="39"/>
  </w:num>
  <w:num w:numId="36">
    <w:abstractNumId w:val="31"/>
  </w:num>
  <w:num w:numId="37">
    <w:abstractNumId w:val="33"/>
  </w:num>
  <w:num w:numId="38">
    <w:abstractNumId w:val="30"/>
  </w:num>
  <w:num w:numId="39">
    <w:abstractNumId w:val="22"/>
  </w:num>
  <w:num w:numId="40">
    <w:abstractNumId w:val="17"/>
  </w:num>
  <w:num w:numId="41">
    <w:abstractNumId w:val="13"/>
  </w:num>
  <w:num w:numId="42">
    <w:abstractNumId w:val="17"/>
  </w:num>
  <w:num w:numId="43">
    <w:abstractNumId w:val="42"/>
  </w:num>
  <w:num w:numId="44">
    <w:abstractNumId w:val="44"/>
  </w:num>
  <w:num w:numId="45">
    <w:abstractNumId w:val="39"/>
  </w:num>
  <w:num w:numId="46">
    <w:abstractNumId w:val="43"/>
  </w:num>
  <w:num w:numId="47">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283"/>
  <w:characterSpacingControl w:val="doNotCompress"/>
  <w:hdrShapeDefaults>
    <o:shapedefaults v:ext="edit" spidmax="5122"/>
  </w:hdrShapeDefaults>
  <w:footnotePr>
    <w:footnote w:id="0"/>
    <w:footnote w:id="1"/>
  </w:footnotePr>
  <w:endnotePr>
    <w:endnote w:id="0"/>
    <w:endnote w:id="1"/>
  </w:endnotePr>
  <w:compat>
    <w:useFELayout/>
  </w:compat>
  <w:rsids>
    <w:rsidRoot w:val="007B682B"/>
    <w:rsid w:val="000022A7"/>
    <w:rsid w:val="00002300"/>
    <w:rsid w:val="0000244C"/>
    <w:rsid w:val="000027F8"/>
    <w:rsid w:val="00004BE3"/>
    <w:rsid w:val="00004BF7"/>
    <w:rsid w:val="00004CA3"/>
    <w:rsid w:val="00005129"/>
    <w:rsid w:val="00005172"/>
    <w:rsid w:val="000056DE"/>
    <w:rsid w:val="000066F6"/>
    <w:rsid w:val="0000714A"/>
    <w:rsid w:val="000078FA"/>
    <w:rsid w:val="00007BF9"/>
    <w:rsid w:val="00007D52"/>
    <w:rsid w:val="00010548"/>
    <w:rsid w:val="00010F65"/>
    <w:rsid w:val="0001119D"/>
    <w:rsid w:val="0001122C"/>
    <w:rsid w:val="00011791"/>
    <w:rsid w:val="00011F4F"/>
    <w:rsid w:val="00012113"/>
    <w:rsid w:val="0001299A"/>
    <w:rsid w:val="00012B67"/>
    <w:rsid w:val="0001337E"/>
    <w:rsid w:val="00014385"/>
    <w:rsid w:val="00015BAE"/>
    <w:rsid w:val="00016690"/>
    <w:rsid w:val="00017890"/>
    <w:rsid w:val="000206F4"/>
    <w:rsid w:val="00021C19"/>
    <w:rsid w:val="000222A5"/>
    <w:rsid w:val="00023784"/>
    <w:rsid w:val="00024C2D"/>
    <w:rsid w:val="00026849"/>
    <w:rsid w:val="00027033"/>
    <w:rsid w:val="000300C2"/>
    <w:rsid w:val="00031CD6"/>
    <w:rsid w:val="00032112"/>
    <w:rsid w:val="00033800"/>
    <w:rsid w:val="00033A78"/>
    <w:rsid w:val="00033CE4"/>
    <w:rsid w:val="0003499E"/>
    <w:rsid w:val="00034A98"/>
    <w:rsid w:val="000352B4"/>
    <w:rsid w:val="000354CC"/>
    <w:rsid w:val="000356DF"/>
    <w:rsid w:val="000365C2"/>
    <w:rsid w:val="00036D4B"/>
    <w:rsid w:val="00036D6B"/>
    <w:rsid w:val="000373F1"/>
    <w:rsid w:val="00037451"/>
    <w:rsid w:val="00037A0A"/>
    <w:rsid w:val="00037F01"/>
    <w:rsid w:val="000403D3"/>
    <w:rsid w:val="00040D5E"/>
    <w:rsid w:val="000410EA"/>
    <w:rsid w:val="000415C2"/>
    <w:rsid w:val="00041719"/>
    <w:rsid w:val="00041D6E"/>
    <w:rsid w:val="000421A9"/>
    <w:rsid w:val="00042E7E"/>
    <w:rsid w:val="00043C39"/>
    <w:rsid w:val="00044665"/>
    <w:rsid w:val="00044ABB"/>
    <w:rsid w:val="00044EB9"/>
    <w:rsid w:val="000453E7"/>
    <w:rsid w:val="00046B65"/>
    <w:rsid w:val="0005001A"/>
    <w:rsid w:val="00051038"/>
    <w:rsid w:val="0005206B"/>
    <w:rsid w:val="00052578"/>
    <w:rsid w:val="000531D1"/>
    <w:rsid w:val="000542D3"/>
    <w:rsid w:val="0005433B"/>
    <w:rsid w:val="000552E2"/>
    <w:rsid w:val="00056C03"/>
    <w:rsid w:val="000572F4"/>
    <w:rsid w:val="00057324"/>
    <w:rsid w:val="0005772C"/>
    <w:rsid w:val="00057C36"/>
    <w:rsid w:val="00057E5F"/>
    <w:rsid w:val="00057F3D"/>
    <w:rsid w:val="0006040F"/>
    <w:rsid w:val="00060FAC"/>
    <w:rsid w:val="00061647"/>
    <w:rsid w:val="00061D4E"/>
    <w:rsid w:val="00062223"/>
    <w:rsid w:val="000625F5"/>
    <w:rsid w:val="00063092"/>
    <w:rsid w:val="00063723"/>
    <w:rsid w:val="000653E7"/>
    <w:rsid w:val="0006599B"/>
    <w:rsid w:val="00065C95"/>
    <w:rsid w:val="00066602"/>
    <w:rsid w:val="0006669C"/>
    <w:rsid w:val="00067039"/>
    <w:rsid w:val="000673B6"/>
    <w:rsid w:val="00067B8B"/>
    <w:rsid w:val="00071568"/>
    <w:rsid w:val="00071A13"/>
    <w:rsid w:val="0007243C"/>
    <w:rsid w:val="00072C04"/>
    <w:rsid w:val="00073A8A"/>
    <w:rsid w:val="00073DFF"/>
    <w:rsid w:val="000743B7"/>
    <w:rsid w:val="000747A9"/>
    <w:rsid w:val="00074FDD"/>
    <w:rsid w:val="000753BA"/>
    <w:rsid w:val="00075694"/>
    <w:rsid w:val="00076216"/>
    <w:rsid w:val="000762C3"/>
    <w:rsid w:val="00077B4C"/>
    <w:rsid w:val="00077B7F"/>
    <w:rsid w:val="00077DC5"/>
    <w:rsid w:val="00080225"/>
    <w:rsid w:val="000803DA"/>
    <w:rsid w:val="0008040C"/>
    <w:rsid w:val="00080BE8"/>
    <w:rsid w:val="00080F14"/>
    <w:rsid w:val="0008271E"/>
    <w:rsid w:val="0008362E"/>
    <w:rsid w:val="00083804"/>
    <w:rsid w:val="00083DE2"/>
    <w:rsid w:val="0008457A"/>
    <w:rsid w:val="00085386"/>
    <w:rsid w:val="00085D13"/>
    <w:rsid w:val="000871FB"/>
    <w:rsid w:val="00087236"/>
    <w:rsid w:val="00091A87"/>
    <w:rsid w:val="00091D56"/>
    <w:rsid w:val="0009249D"/>
    <w:rsid w:val="00093AE7"/>
    <w:rsid w:val="0009411D"/>
    <w:rsid w:val="00095584"/>
    <w:rsid w:val="00095667"/>
    <w:rsid w:val="00095DC5"/>
    <w:rsid w:val="00096350"/>
    <w:rsid w:val="00096577"/>
    <w:rsid w:val="000A00BA"/>
    <w:rsid w:val="000A08BA"/>
    <w:rsid w:val="000A0EDA"/>
    <w:rsid w:val="000A1093"/>
    <w:rsid w:val="000A39B8"/>
    <w:rsid w:val="000A422E"/>
    <w:rsid w:val="000A57A1"/>
    <w:rsid w:val="000A6581"/>
    <w:rsid w:val="000A6DB2"/>
    <w:rsid w:val="000A72BA"/>
    <w:rsid w:val="000A7DDA"/>
    <w:rsid w:val="000A7EA7"/>
    <w:rsid w:val="000B0548"/>
    <w:rsid w:val="000B0AC0"/>
    <w:rsid w:val="000B119C"/>
    <w:rsid w:val="000B1B66"/>
    <w:rsid w:val="000B21CF"/>
    <w:rsid w:val="000B242E"/>
    <w:rsid w:val="000B2449"/>
    <w:rsid w:val="000B25F9"/>
    <w:rsid w:val="000B3CDF"/>
    <w:rsid w:val="000B53A4"/>
    <w:rsid w:val="000B5AC9"/>
    <w:rsid w:val="000B6238"/>
    <w:rsid w:val="000B68AC"/>
    <w:rsid w:val="000C07AC"/>
    <w:rsid w:val="000C0A45"/>
    <w:rsid w:val="000C0B9A"/>
    <w:rsid w:val="000C22FE"/>
    <w:rsid w:val="000C2BD2"/>
    <w:rsid w:val="000C3C3C"/>
    <w:rsid w:val="000C63F8"/>
    <w:rsid w:val="000C6B69"/>
    <w:rsid w:val="000C7105"/>
    <w:rsid w:val="000C789B"/>
    <w:rsid w:val="000C7A89"/>
    <w:rsid w:val="000D0625"/>
    <w:rsid w:val="000D08C8"/>
    <w:rsid w:val="000D0980"/>
    <w:rsid w:val="000D1250"/>
    <w:rsid w:val="000D1503"/>
    <w:rsid w:val="000D1F5C"/>
    <w:rsid w:val="000D24D7"/>
    <w:rsid w:val="000D2A90"/>
    <w:rsid w:val="000D2CAA"/>
    <w:rsid w:val="000D3B36"/>
    <w:rsid w:val="000D40CB"/>
    <w:rsid w:val="000D4370"/>
    <w:rsid w:val="000D5878"/>
    <w:rsid w:val="000D5B61"/>
    <w:rsid w:val="000D5C61"/>
    <w:rsid w:val="000D75CD"/>
    <w:rsid w:val="000D7645"/>
    <w:rsid w:val="000D7A69"/>
    <w:rsid w:val="000D7DCE"/>
    <w:rsid w:val="000D7E45"/>
    <w:rsid w:val="000D7EE3"/>
    <w:rsid w:val="000E0BCB"/>
    <w:rsid w:val="000E1A5A"/>
    <w:rsid w:val="000E1ABF"/>
    <w:rsid w:val="000E2D17"/>
    <w:rsid w:val="000E3472"/>
    <w:rsid w:val="000E476D"/>
    <w:rsid w:val="000E4A1A"/>
    <w:rsid w:val="000E5ABA"/>
    <w:rsid w:val="000E60EB"/>
    <w:rsid w:val="000E64DA"/>
    <w:rsid w:val="000E6F3B"/>
    <w:rsid w:val="000E770E"/>
    <w:rsid w:val="000E7A53"/>
    <w:rsid w:val="000F0385"/>
    <w:rsid w:val="000F09AA"/>
    <w:rsid w:val="000F1EC4"/>
    <w:rsid w:val="000F2082"/>
    <w:rsid w:val="000F2389"/>
    <w:rsid w:val="000F387B"/>
    <w:rsid w:val="000F3AC7"/>
    <w:rsid w:val="000F4209"/>
    <w:rsid w:val="000F4917"/>
    <w:rsid w:val="000F5019"/>
    <w:rsid w:val="000F50A4"/>
    <w:rsid w:val="000F6D38"/>
    <w:rsid w:val="000F6EBD"/>
    <w:rsid w:val="000F6FE7"/>
    <w:rsid w:val="001014E8"/>
    <w:rsid w:val="00101803"/>
    <w:rsid w:val="00101EE1"/>
    <w:rsid w:val="00102089"/>
    <w:rsid w:val="001022BC"/>
    <w:rsid w:val="00102EF5"/>
    <w:rsid w:val="00103B2C"/>
    <w:rsid w:val="0010442F"/>
    <w:rsid w:val="00104974"/>
    <w:rsid w:val="00104B88"/>
    <w:rsid w:val="00104DDA"/>
    <w:rsid w:val="0010568D"/>
    <w:rsid w:val="00106801"/>
    <w:rsid w:val="00106888"/>
    <w:rsid w:val="00110316"/>
    <w:rsid w:val="001104E4"/>
    <w:rsid w:val="00111ED5"/>
    <w:rsid w:val="00111F9A"/>
    <w:rsid w:val="00112E06"/>
    <w:rsid w:val="001130FB"/>
    <w:rsid w:val="00113933"/>
    <w:rsid w:val="00114088"/>
    <w:rsid w:val="00114459"/>
    <w:rsid w:val="00115B80"/>
    <w:rsid w:val="00115C48"/>
    <w:rsid w:val="00116006"/>
    <w:rsid w:val="00116B12"/>
    <w:rsid w:val="00116C56"/>
    <w:rsid w:val="00116C93"/>
    <w:rsid w:val="00117E10"/>
    <w:rsid w:val="001203E4"/>
    <w:rsid w:val="00120DCD"/>
    <w:rsid w:val="00120F46"/>
    <w:rsid w:val="00121EB7"/>
    <w:rsid w:val="00122302"/>
    <w:rsid w:val="0012327E"/>
    <w:rsid w:val="0012383F"/>
    <w:rsid w:val="00123878"/>
    <w:rsid w:val="00123934"/>
    <w:rsid w:val="0012399B"/>
    <w:rsid w:val="00123B8F"/>
    <w:rsid w:val="0012436D"/>
    <w:rsid w:val="00124890"/>
    <w:rsid w:val="00124EFF"/>
    <w:rsid w:val="0012540D"/>
    <w:rsid w:val="00126938"/>
    <w:rsid w:val="00127096"/>
    <w:rsid w:val="00127307"/>
    <w:rsid w:val="00127892"/>
    <w:rsid w:val="001304B0"/>
    <w:rsid w:val="0013062E"/>
    <w:rsid w:val="0013077F"/>
    <w:rsid w:val="00130B71"/>
    <w:rsid w:val="00131B77"/>
    <w:rsid w:val="001324D5"/>
    <w:rsid w:val="00132966"/>
    <w:rsid w:val="00132BF8"/>
    <w:rsid w:val="001343AE"/>
    <w:rsid w:val="00134D05"/>
    <w:rsid w:val="00135006"/>
    <w:rsid w:val="00135D77"/>
    <w:rsid w:val="00135DBC"/>
    <w:rsid w:val="001367B8"/>
    <w:rsid w:val="0014031D"/>
    <w:rsid w:val="001410D3"/>
    <w:rsid w:val="0014184C"/>
    <w:rsid w:val="00141E72"/>
    <w:rsid w:val="00141F0A"/>
    <w:rsid w:val="00141F2F"/>
    <w:rsid w:val="00142677"/>
    <w:rsid w:val="001429C0"/>
    <w:rsid w:val="001440A0"/>
    <w:rsid w:val="00144669"/>
    <w:rsid w:val="00144E5A"/>
    <w:rsid w:val="0014500F"/>
    <w:rsid w:val="00145D4E"/>
    <w:rsid w:val="00146286"/>
    <w:rsid w:val="00147243"/>
    <w:rsid w:val="001473B8"/>
    <w:rsid w:val="00147D1B"/>
    <w:rsid w:val="00150022"/>
    <w:rsid w:val="00150920"/>
    <w:rsid w:val="00150E81"/>
    <w:rsid w:val="00150F3B"/>
    <w:rsid w:val="001513A9"/>
    <w:rsid w:val="001518FD"/>
    <w:rsid w:val="00152127"/>
    <w:rsid w:val="001527E3"/>
    <w:rsid w:val="001532BC"/>
    <w:rsid w:val="001533C7"/>
    <w:rsid w:val="001533DC"/>
    <w:rsid w:val="00153627"/>
    <w:rsid w:val="001536E7"/>
    <w:rsid w:val="001546C9"/>
    <w:rsid w:val="00154EE5"/>
    <w:rsid w:val="00157CBE"/>
    <w:rsid w:val="00157F8B"/>
    <w:rsid w:val="00161281"/>
    <w:rsid w:val="00161AEE"/>
    <w:rsid w:val="001626C3"/>
    <w:rsid w:val="00162B3C"/>
    <w:rsid w:val="00162BE4"/>
    <w:rsid w:val="00162D8C"/>
    <w:rsid w:val="0016301A"/>
    <w:rsid w:val="0016350E"/>
    <w:rsid w:val="00163CCF"/>
    <w:rsid w:val="00164036"/>
    <w:rsid w:val="00164A5D"/>
    <w:rsid w:val="00165554"/>
    <w:rsid w:val="001667ED"/>
    <w:rsid w:val="0016753E"/>
    <w:rsid w:val="0016781B"/>
    <w:rsid w:val="00167984"/>
    <w:rsid w:val="00167C65"/>
    <w:rsid w:val="00170F6D"/>
    <w:rsid w:val="00171468"/>
    <w:rsid w:val="001715BB"/>
    <w:rsid w:val="00171FB8"/>
    <w:rsid w:val="0017205A"/>
    <w:rsid w:val="0017383E"/>
    <w:rsid w:val="00173E38"/>
    <w:rsid w:val="001753F4"/>
    <w:rsid w:val="00175571"/>
    <w:rsid w:val="00175709"/>
    <w:rsid w:val="00176590"/>
    <w:rsid w:val="00176B1E"/>
    <w:rsid w:val="00177874"/>
    <w:rsid w:val="001803BE"/>
    <w:rsid w:val="0018079D"/>
    <w:rsid w:val="00181994"/>
    <w:rsid w:val="00181F5C"/>
    <w:rsid w:val="0018288F"/>
    <w:rsid w:val="00183B21"/>
    <w:rsid w:val="00184068"/>
    <w:rsid w:val="00184E2C"/>
    <w:rsid w:val="00185D5F"/>
    <w:rsid w:val="00186142"/>
    <w:rsid w:val="00186853"/>
    <w:rsid w:val="00186FBE"/>
    <w:rsid w:val="001876F5"/>
    <w:rsid w:val="00187EBF"/>
    <w:rsid w:val="00191EB1"/>
    <w:rsid w:val="00192428"/>
    <w:rsid w:val="0019345D"/>
    <w:rsid w:val="00194F60"/>
    <w:rsid w:val="001956DC"/>
    <w:rsid w:val="001956DE"/>
    <w:rsid w:val="00196E72"/>
    <w:rsid w:val="00197134"/>
    <w:rsid w:val="00197435"/>
    <w:rsid w:val="001A09E4"/>
    <w:rsid w:val="001A156C"/>
    <w:rsid w:val="001A1A34"/>
    <w:rsid w:val="001A1D07"/>
    <w:rsid w:val="001A25C7"/>
    <w:rsid w:val="001A2A7F"/>
    <w:rsid w:val="001A2CC0"/>
    <w:rsid w:val="001A2F4F"/>
    <w:rsid w:val="001A3572"/>
    <w:rsid w:val="001A37AC"/>
    <w:rsid w:val="001A3E0F"/>
    <w:rsid w:val="001A3E43"/>
    <w:rsid w:val="001A4ADB"/>
    <w:rsid w:val="001A503E"/>
    <w:rsid w:val="001A50D6"/>
    <w:rsid w:val="001A5713"/>
    <w:rsid w:val="001A633C"/>
    <w:rsid w:val="001A65C5"/>
    <w:rsid w:val="001A7237"/>
    <w:rsid w:val="001A7CDE"/>
    <w:rsid w:val="001B0254"/>
    <w:rsid w:val="001B0691"/>
    <w:rsid w:val="001B0764"/>
    <w:rsid w:val="001B1084"/>
    <w:rsid w:val="001B28CF"/>
    <w:rsid w:val="001B2CE3"/>
    <w:rsid w:val="001B3047"/>
    <w:rsid w:val="001B3764"/>
    <w:rsid w:val="001B3D34"/>
    <w:rsid w:val="001B3DE6"/>
    <w:rsid w:val="001B405E"/>
    <w:rsid w:val="001B4571"/>
    <w:rsid w:val="001B4670"/>
    <w:rsid w:val="001B4693"/>
    <w:rsid w:val="001B4F73"/>
    <w:rsid w:val="001B51CC"/>
    <w:rsid w:val="001B5BA0"/>
    <w:rsid w:val="001B71EA"/>
    <w:rsid w:val="001B723C"/>
    <w:rsid w:val="001B75D8"/>
    <w:rsid w:val="001C0240"/>
    <w:rsid w:val="001C0EBF"/>
    <w:rsid w:val="001C167C"/>
    <w:rsid w:val="001C3537"/>
    <w:rsid w:val="001C3B3C"/>
    <w:rsid w:val="001C3D01"/>
    <w:rsid w:val="001C3E66"/>
    <w:rsid w:val="001C5BEA"/>
    <w:rsid w:val="001C6ED6"/>
    <w:rsid w:val="001C70B3"/>
    <w:rsid w:val="001C7E16"/>
    <w:rsid w:val="001D0234"/>
    <w:rsid w:val="001D0883"/>
    <w:rsid w:val="001D0943"/>
    <w:rsid w:val="001D0E98"/>
    <w:rsid w:val="001D12A5"/>
    <w:rsid w:val="001D13C8"/>
    <w:rsid w:val="001D1905"/>
    <w:rsid w:val="001D1D16"/>
    <w:rsid w:val="001D213D"/>
    <w:rsid w:val="001D224C"/>
    <w:rsid w:val="001D22BD"/>
    <w:rsid w:val="001D26AD"/>
    <w:rsid w:val="001D28BD"/>
    <w:rsid w:val="001D4639"/>
    <w:rsid w:val="001D48DB"/>
    <w:rsid w:val="001D4C72"/>
    <w:rsid w:val="001D4DDE"/>
    <w:rsid w:val="001D5639"/>
    <w:rsid w:val="001D5B10"/>
    <w:rsid w:val="001D5E5A"/>
    <w:rsid w:val="001D79A6"/>
    <w:rsid w:val="001D7E62"/>
    <w:rsid w:val="001D7FE5"/>
    <w:rsid w:val="001E1FB2"/>
    <w:rsid w:val="001E2196"/>
    <w:rsid w:val="001E2453"/>
    <w:rsid w:val="001E4724"/>
    <w:rsid w:val="001E481E"/>
    <w:rsid w:val="001E49E6"/>
    <w:rsid w:val="001E5259"/>
    <w:rsid w:val="001E5653"/>
    <w:rsid w:val="001E5977"/>
    <w:rsid w:val="001E6262"/>
    <w:rsid w:val="001E7AB9"/>
    <w:rsid w:val="001E7D8F"/>
    <w:rsid w:val="001F1DD8"/>
    <w:rsid w:val="001F1DEB"/>
    <w:rsid w:val="001F1E82"/>
    <w:rsid w:val="001F2BEC"/>
    <w:rsid w:val="001F2C8F"/>
    <w:rsid w:val="001F30E7"/>
    <w:rsid w:val="001F3785"/>
    <w:rsid w:val="001F4334"/>
    <w:rsid w:val="001F48D1"/>
    <w:rsid w:val="001F4A7E"/>
    <w:rsid w:val="001F4AD2"/>
    <w:rsid w:val="001F50EF"/>
    <w:rsid w:val="001F63AA"/>
    <w:rsid w:val="001F668D"/>
    <w:rsid w:val="001F67CE"/>
    <w:rsid w:val="001F6835"/>
    <w:rsid w:val="001F7135"/>
    <w:rsid w:val="001F7366"/>
    <w:rsid w:val="001F7612"/>
    <w:rsid w:val="00200400"/>
    <w:rsid w:val="002006FB"/>
    <w:rsid w:val="002008E2"/>
    <w:rsid w:val="00200DB8"/>
    <w:rsid w:val="00201768"/>
    <w:rsid w:val="00201D62"/>
    <w:rsid w:val="00202793"/>
    <w:rsid w:val="00202D0A"/>
    <w:rsid w:val="00204993"/>
    <w:rsid w:val="00204D79"/>
    <w:rsid w:val="00205B01"/>
    <w:rsid w:val="0020699D"/>
    <w:rsid w:val="00207D85"/>
    <w:rsid w:val="00207EFE"/>
    <w:rsid w:val="00210040"/>
    <w:rsid w:val="00210AF9"/>
    <w:rsid w:val="00211923"/>
    <w:rsid w:val="00211CA6"/>
    <w:rsid w:val="002122FF"/>
    <w:rsid w:val="002127CE"/>
    <w:rsid w:val="002127D1"/>
    <w:rsid w:val="00212F66"/>
    <w:rsid w:val="00213464"/>
    <w:rsid w:val="00213DE0"/>
    <w:rsid w:val="00214B7C"/>
    <w:rsid w:val="0021525D"/>
    <w:rsid w:val="002158E7"/>
    <w:rsid w:val="00216973"/>
    <w:rsid w:val="00216F85"/>
    <w:rsid w:val="00217016"/>
    <w:rsid w:val="002171F6"/>
    <w:rsid w:val="00217A58"/>
    <w:rsid w:val="00217C57"/>
    <w:rsid w:val="002202C1"/>
    <w:rsid w:val="00220BCF"/>
    <w:rsid w:val="002222F6"/>
    <w:rsid w:val="00223DBB"/>
    <w:rsid w:val="00223F5C"/>
    <w:rsid w:val="00224675"/>
    <w:rsid w:val="0022481D"/>
    <w:rsid w:val="0022544D"/>
    <w:rsid w:val="00226698"/>
    <w:rsid w:val="00226C11"/>
    <w:rsid w:val="00227577"/>
    <w:rsid w:val="002330ED"/>
    <w:rsid w:val="002348FC"/>
    <w:rsid w:val="00234B97"/>
    <w:rsid w:val="00234E8A"/>
    <w:rsid w:val="002351A0"/>
    <w:rsid w:val="00235552"/>
    <w:rsid w:val="00236626"/>
    <w:rsid w:val="0023670C"/>
    <w:rsid w:val="002369FF"/>
    <w:rsid w:val="00236FB0"/>
    <w:rsid w:val="0023721D"/>
    <w:rsid w:val="00240195"/>
    <w:rsid w:val="00240E86"/>
    <w:rsid w:val="00241542"/>
    <w:rsid w:val="0024188A"/>
    <w:rsid w:val="002427A3"/>
    <w:rsid w:val="00242C77"/>
    <w:rsid w:val="00243949"/>
    <w:rsid w:val="0024483B"/>
    <w:rsid w:val="00244983"/>
    <w:rsid w:val="00245030"/>
    <w:rsid w:val="00245DC3"/>
    <w:rsid w:val="00246244"/>
    <w:rsid w:val="00246954"/>
    <w:rsid w:val="0024739E"/>
    <w:rsid w:val="00247670"/>
    <w:rsid w:val="00247BA3"/>
    <w:rsid w:val="00250437"/>
    <w:rsid w:val="002515D1"/>
    <w:rsid w:val="002517CA"/>
    <w:rsid w:val="002519DD"/>
    <w:rsid w:val="00251A96"/>
    <w:rsid w:val="0025323D"/>
    <w:rsid w:val="00253DD5"/>
    <w:rsid w:val="002540D8"/>
    <w:rsid w:val="00254744"/>
    <w:rsid w:val="002549B0"/>
    <w:rsid w:val="00254CC7"/>
    <w:rsid w:val="00254DBE"/>
    <w:rsid w:val="00255240"/>
    <w:rsid w:val="002560A9"/>
    <w:rsid w:val="002569A9"/>
    <w:rsid w:val="00257103"/>
    <w:rsid w:val="002572A2"/>
    <w:rsid w:val="002573BE"/>
    <w:rsid w:val="0026223C"/>
    <w:rsid w:val="00262272"/>
    <w:rsid w:val="00262F80"/>
    <w:rsid w:val="002634F1"/>
    <w:rsid w:val="00263869"/>
    <w:rsid w:val="00263A36"/>
    <w:rsid w:val="00263BCF"/>
    <w:rsid w:val="00263DA4"/>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72094"/>
    <w:rsid w:val="002723FF"/>
    <w:rsid w:val="002739E8"/>
    <w:rsid w:val="00273C22"/>
    <w:rsid w:val="00275060"/>
    <w:rsid w:val="00275641"/>
    <w:rsid w:val="00275B6C"/>
    <w:rsid w:val="00275C72"/>
    <w:rsid w:val="00275FFE"/>
    <w:rsid w:val="002763EA"/>
    <w:rsid w:val="00276FFD"/>
    <w:rsid w:val="00281537"/>
    <w:rsid w:val="00282D8E"/>
    <w:rsid w:val="0028387B"/>
    <w:rsid w:val="002846B6"/>
    <w:rsid w:val="00284E3A"/>
    <w:rsid w:val="00285319"/>
    <w:rsid w:val="00286961"/>
    <w:rsid w:val="00286F0E"/>
    <w:rsid w:val="002870DE"/>
    <w:rsid w:val="002879EE"/>
    <w:rsid w:val="0029023D"/>
    <w:rsid w:val="00290AD4"/>
    <w:rsid w:val="00290DF8"/>
    <w:rsid w:val="00290E33"/>
    <w:rsid w:val="00291E7C"/>
    <w:rsid w:val="00291ECD"/>
    <w:rsid w:val="0029423D"/>
    <w:rsid w:val="0029562D"/>
    <w:rsid w:val="00295927"/>
    <w:rsid w:val="00296666"/>
    <w:rsid w:val="002970AF"/>
    <w:rsid w:val="00297573"/>
    <w:rsid w:val="00297667"/>
    <w:rsid w:val="00297DEB"/>
    <w:rsid w:val="002A0FB9"/>
    <w:rsid w:val="002A1AA7"/>
    <w:rsid w:val="002A1EB7"/>
    <w:rsid w:val="002A225E"/>
    <w:rsid w:val="002A22E3"/>
    <w:rsid w:val="002A2549"/>
    <w:rsid w:val="002A2883"/>
    <w:rsid w:val="002A300B"/>
    <w:rsid w:val="002A35BD"/>
    <w:rsid w:val="002A407A"/>
    <w:rsid w:val="002A4098"/>
    <w:rsid w:val="002A4857"/>
    <w:rsid w:val="002A50E7"/>
    <w:rsid w:val="002A53C2"/>
    <w:rsid w:val="002B0423"/>
    <w:rsid w:val="002B0ADF"/>
    <w:rsid w:val="002B20E2"/>
    <w:rsid w:val="002B2371"/>
    <w:rsid w:val="002B3E49"/>
    <w:rsid w:val="002B3EF3"/>
    <w:rsid w:val="002B4F83"/>
    <w:rsid w:val="002B50CC"/>
    <w:rsid w:val="002B53AA"/>
    <w:rsid w:val="002B59E2"/>
    <w:rsid w:val="002B5AE9"/>
    <w:rsid w:val="002B5E81"/>
    <w:rsid w:val="002B66F4"/>
    <w:rsid w:val="002B6B31"/>
    <w:rsid w:val="002B7A43"/>
    <w:rsid w:val="002C0EEE"/>
    <w:rsid w:val="002C162D"/>
    <w:rsid w:val="002C16AA"/>
    <w:rsid w:val="002C1743"/>
    <w:rsid w:val="002C181E"/>
    <w:rsid w:val="002C19C1"/>
    <w:rsid w:val="002C1E12"/>
    <w:rsid w:val="002C23F8"/>
    <w:rsid w:val="002C2AF9"/>
    <w:rsid w:val="002C43D7"/>
    <w:rsid w:val="002C449C"/>
    <w:rsid w:val="002C4CF0"/>
    <w:rsid w:val="002C5910"/>
    <w:rsid w:val="002C5E04"/>
    <w:rsid w:val="002C672C"/>
    <w:rsid w:val="002C6B93"/>
    <w:rsid w:val="002C7BFD"/>
    <w:rsid w:val="002C7D11"/>
    <w:rsid w:val="002D13D6"/>
    <w:rsid w:val="002D15EC"/>
    <w:rsid w:val="002D19DA"/>
    <w:rsid w:val="002D1ACC"/>
    <w:rsid w:val="002D270C"/>
    <w:rsid w:val="002D287E"/>
    <w:rsid w:val="002D288E"/>
    <w:rsid w:val="002D30A6"/>
    <w:rsid w:val="002D3E70"/>
    <w:rsid w:val="002D4F74"/>
    <w:rsid w:val="002D5592"/>
    <w:rsid w:val="002D66EF"/>
    <w:rsid w:val="002D7021"/>
    <w:rsid w:val="002E0B40"/>
    <w:rsid w:val="002E0CF7"/>
    <w:rsid w:val="002E11E1"/>
    <w:rsid w:val="002E1532"/>
    <w:rsid w:val="002E1669"/>
    <w:rsid w:val="002E2285"/>
    <w:rsid w:val="002E246A"/>
    <w:rsid w:val="002E3070"/>
    <w:rsid w:val="002E30C9"/>
    <w:rsid w:val="002E37EA"/>
    <w:rsid w:val="002E3A5D"/>
    <w:rsid w:val="002E42FC"/>
    <w:rsid w:val="002E452A"/>
    <w:rsid w:val="002E63F1"/>
    <w:rsid w:val="002E732B"/>
    <w:rsid w:val="002E76BD"/>
    <w:rsid w:val="002E7BAF"/>
    <w:rsid w:val="002E7DDE"/>
    <w:rsid w:val="002F0B13"/>
    <w:rsid w:val="002F1A2D"/>
    <w:rsid w:val="002F262E"/>
    <w:rsid w:val="002F33CD"/>
    <w:rsid w:val="002F4065"/>
    <w:rsid w:val="002F4AE2"/>
    <w:rsid w:val="002F5606"/>
    <w:rsid w:val="002F58DD"/>
    <w:rsid w:val="002F6010"/>
    <w:rsid w:val="002F60B6"/>
    <w:rsid w:val="002F6277"/>
    <w:rsid w:val="002F6530"/>
    <w:rsid w:val="002F6D59"/>
    <w:rsid w:val="002F6DDF"/>
    <w:rsid w:val="002F76B6"/>
    <w:rsid w:val="002F7E69"/>
    <w:rsid w:val="002F7EF9"/>
    <w:rsid w:val="00300770"/>
    <w:rsid w:val="00301555"/>
    <w:rsid w:val="00301A05"/>
    <w:rsid w:val="00301F67"/>
    <w:rsid w:val="00302173"/>
    <w:rsid w:val="00302774"/>
    <w:rsid w:val="00303AA0"/>
    <w:rsid w:val="00304225"/>
    <w:rsid w:val="00304954"/>
    <w:rsid w:val="003049F6"/>
    <w:rsid w:val="00305C43"/>
    <w:rsid w:val="00305D40"/>
    <w:rsid w:val="00305FD6"/>
    <w:rsid w:val="00306478"/>
    <w:rsid w:val="00306641"/>
    <w:rsid w:val="003068D2"/>
    <w:rsid w:val="003106B8"/>
    <w:rsid w:val="00310997"/>
    <w:rsid w:val="003120AF"/>
    <w:rsid w:val="00312170"/>
    <w:rsid w:val="0031239E"/>
    <w:rsid w:val="00312A53"/>
    <w:rsid w:val="00312D49"/>
    <w:rsid w:val="00312E2D"/>
    <w:rsid w:val="00312EB1"/>
    <w:rsid w:val="003148FC"/>
    <w:rsid w:val="003159C9"/>
    <w:rsid w:val="00315A37"/>
    <w:rsid w:val="00315CB0"/>
    <w:rsid w:val="003163EB"/>
    <w:rsid w:val="00317E3D"/>
    <w:rsid w:val="00320D4F"/>
    <w:rsid w:val="00320D92"/>
    <w:rsid w:val="00321CCA"/>
    <w:rsid w:val="00321D29"/>
    <w:rsid w:val="00322631"/>
    <w:rsid w:val="00322C39"/>
    <w:rsid w:val="0032323D"/>
    <w:rsid w:val="003245C8"/>
    <w:rsid w:val="00324695"/>
    <w:rsid w:val="00325B76"/>
    <w:rsid w:val="00325D76"/>
    <w:rsid w:val="00326426"/>
    <w:rsid w:val="0032674E"/>
    <w:rsid w:val="003267E9"/>
    <w:rsid w:val="00326AB4"/>
    <w:rsid w:val="003274E5"/>
    <w:rsid w:val="0032773F"/>
    <w:rsid w:val="00330F1C"/>
    <w:rsid w:val="00330F23"/>
    <w:rsid w:val="00331A02"/>
    <w:rsid w:val="0033230C"/>
    <w:rsid w:val="00332BC9"/>
    <w:rsid w:val="00332E22"/>
    <w:rsid w:val="00332FBA"/>
    <w:rsid w:val="003332F1"/>
    <w:rsid w:val="00333BB6"/>
    <w:rsid w:val="00333D4F"/>
    <w:rsid w:val="003350E5"/>
    <w:rsid w:val="0033511B"/>
    <w:rsid w:val="00337022"/>
    <w:rsid w:val="00337427"/>
    <w:rsid w:val="003375DC"/>
    <w:rsid w:val="00337B53"/>
    <w:rsid w:val="00340152"/>
    <w:rsid w:val="00340216"/>
    <w:rsid w:val="003408FB"/>
    <w:rsid w:val="00340B2D"/>
    <w:rsid w:val="0034119B"/>
    <w:rsid w:val="00341691"/>
    <w:rsid w:val="00342065"/>
    <w:rsid w:val="0034228C"/>
    <w:rsid w:val="003422C4"/>
    <w:rsid w:val="00342A3A"/>
    <w:rsid w:val="00345444"/>
    <w:rsid w:val="00345585"/>
    <w:rsid w:val="0034565E"/>
    <w:rsid w:val="003457D9"/>
    <w:rsid w:val="00346171"/>
    <w:rsid w:val="003461BD"/>
    <w:rsid w:val="003477C3"/>
    <w:rsid w:val="00347F09"/>
    <w:rsid w:val="00350108"/>
    <w:rsid w:val="0035087A"/>
    <w:rsid w:val="00351746"/>
    <w:rsid w:val="00353CBD"/>
    <w:rsid w:val="00354B9D"/>
    <w:rsid w:val="0035543D"/>
    <w:rsid w:val="003565D0"/>
    <w:rsid w:val="00357327"/>
    <w:rsid w:val="00360D63"/>
    <w:rsid w:val="00360F67"/>
    <w:rsid w:val="003612F6"/>
    <w:rsid w:val="003614B8"/>
    <w:rsid w:val="00361905"/>
    <w:rsid w:val="003621FC"/>
    <w:rsid w:val="003628BF"/>
    <w:rsid w:val="00362CAB"/>
    <w:rsid w:val="00362FDB"/>
    <w:rsid w:val="003631E5"/>
    <w:rsid w:val="00364ED4"/>
    <w:rsid w:val="0036518B"/>
    <w:rsid w:val="00365280"/>
    <w:rsid w:val="0036535A"/>
    <w:rsid w:val="0036634C"/>
    <w:rsid w:val="00366CCB"/>
    <w:rsid w:val="00367020"/>
    <w:rsid w:val="00367AEB"/>
    <w:rsid w:val="00367BA7"/>
    <w:rsid w:val="0037023A"/>
    <w:rsid w:val="0037026E"/>
    <w:rsid w:val="00370F56"/>
    <w:rsid w:val="003719ED"/>
    <w:rsid w:val="003726E1"/>
    <w:rsid w:val="003727A7"/>
    <w:rsid w:val="00372AFA"/>
    <w:rsid w:val="0037304B"/>
    <w:rsid w:val="00373CA2"/>
    <w:rsid w:val="0037430E"/>
    <w:rsid w:val="003744DF"/>
    <w:rsid w:val="003747F1"/>
    <w:rsid w:val="00376A63"/>
    <w:rsid w:val="00376B57"/>
    <w:rsid w:val="00376B91"/>
    <w:rsid w:val="00376E88"/>
    <w:rsid w:val="00382074"/>
    <w:rsid w:val="0038374F"/>
    <w:rsid w:val="00383A18"/>
    <w:rsid w:val="00383FBD"/>
    <w:rsid w:val="00384423"/>
    <w:rsid w:val="00385025"/>
    <w:rsid w:val="00385142"/>
    <w:rsid w:val="00385C48"/>
    <w:rsid w:val="003874BF"/>
    <w:rsid w:val="00387D4E"/>
    <w:rsid w:val="003908B8"/>
    <w:rsid w:val="00390F8F"/>
    <w:rsid w:val="00391BD8"/>
    <w:rsid w:val="00391D3F"/>
    <w:rsid w:val="003920FB"/>
    <w:rsid w:val="0039246E"/>
    <w:rsid w:val="003924CD"/>
    <w:rsid w:val="003932D6"/>
    <w:rsid w:val="00393652"/>
    <w:rsid w:val="00393F63"/>
    <w:rsid w:val="00394375"/>
    <w:rsid w:val="00394447"/>
    <w:rsid w:val="00394992"/>
    <w:rsid w:val="0039505A"/>
    <w:rsid w:val="003950EC"/>
    <w:rsid w:val="00395E21"/>
    <w:rsid w:val="00396346"/>
    <w:rsid w:val="003965BE"/>
    <w:rsid w:val="00397CA5"/>
    <w:rsid w:val="003A051C"/>
    <w:rsid w:val="003A0661"/>
    <w:rsid w:val="003A0BC9"/>
    <w:rsid w:val="003A0D49"/>
    <w:rsid w:val="003A1AA3"/>
    <w:rsid w:val="003A1AD0"/>
    <w:rsid w:val="003A1C93"/>
    <w:rsid w:val="003A2395"/>
    <w:rsid w:val="003A27B9"/>
    <w:rsid w:val="003A3BE0"/>
    <w:rsid w:val="003A422A"/>
    <w:rsid w:val="003A5301"/>
    <w:rsid w:val="003A5C42"/>
    <w:rsid w:val="003A60C1"/>
    <w:rsid w:val="003A6257"/>
    <w:rsid w:val="003A62BF"/>
    <w:rsid w:val="003A742F"/>
    <w:rsid w:val="003B0176"/>
    <w:rsid w:val="003B0299"/>
    <w:rsid w:val="003B02F3"/>
    <w:rsid w:val="003B0352"/>
    <w:rsid w:val="003B037E"/>
    <w:rsid w:val="003B0622"/>
    <w:rsid w:val="003B0F67"/>
    <w:rsid w:val="003B19AE"/>
    <w:rsid w:val="003B3D1D"/>
    <w:rsid w:val="003B3D8B"/>
    <w:rsid w:val="003B4640"/>
    <w:rsid w:val="003B53A4"/>
    <w:rsid w:val="003B5F29"/>
    <w:rsid w:val="003B632B"/>
    <w:rsid w:val="003B6B24"/>
    <w:rsid w:val="003B6F85"/>
    <w:rsid w:val="003B720F"/>
    <w:rsid w:val="003C0756"/>
    <w:rsid w:val="003C0BF8"/>
    <w:rsid w:val="003C0C5D"/>
    <w:rsid w:val="003C1341"/>
    <w:rsid w:val="003C17AF"/>
    <w:rsid w:val="003C186F"/>
    <w:rsid w:val="003C1BE8"/>
    <w:rsid w:val="003C1DF7"/>
    <w:rsid w:val="003C2801"/>
    <w:rsid w:val="003C2DBB"/>
    <w:rsid w:val="003C3E71"/>
    <w:rsid w:val="003C47EA"/>
    <w:rsid w:val="003C4E72"/>
    <w:rsid w:val="003C5AEF"/>
    <w:rsid w:val="003C620D"/>
    <w:rsid w:val="003C69BE"/>
    <w:rsid w:val="003C6C3F"/>
    <w:rsid w:val="003C724A"/>
    <w:rsid w:val="003D049D"/>
    <w:rsid w:val="003D05A8"/>
    <w:rsid w:val="003D1170"/>
    <w:rsid w:val="003D28CD"/>
    <w:rsid w:val="003D2A0B"/>
    <w:rsid w:val="003D3137"/>
    <w:rsid w:val="003D353F"/>
    <w:rsid w:val="003D3EE4"/>
    <w:rsid w:val="003D4011"/>
    <w:rsid w:val="003D4106"/>
    <w:rsid w:val="003D430C"/>
    <w:rsid w:val="003D4657"/>
    <w:rsid w:val="003D4BA4"/>
    <w:rsid w:val="003D4BF6"/>
    <w:rsid w:val="003D4D75"/>
    <w:rsid w:val="003D514B"/>
    <w:rsid w:val="003D5397"/>
    <w:rsid w:val="003D5649"/>
    <w:rsid w:val="003D75C5"/>
    <w:rsid w:val="003D7D3B"/>
    <w:rsid w:val="003E083A"/>
    <w:rsid w:val="003E1DB5"/>
    <w:rsid w:val="003E230A"/>
    <w:rsid w:val="003E25C2"/>
    <w:rsid w:val="003E293F"/>
    <w:rsid w:val="003E33FF"/>
    <w:rsid w:val="003E3422"/>
    <w:rsid w:val="003E35A0"/>
    <w:rsid w:val="003E3679"/>
    <w:rsid w:val="003E3C44"/>
    <w:rsid w:val="003E3EB4"/>
    <w:rsid w:val="003E3FDD"/>
    <w:rsid w:val="003E49D4"/>
    <w:rsid w:val="003E4B31"/>
    <w:rsid w:val="003E512B"/>
    <w:rsid w:val="003E5430"/>
    <w:rsid w:val="003E5AB8"/>
    <w:rsid w:val="003E5D4D"/>
    <w:rsid w:val="003E5E24"/>
    <w:rsid w:val="003E609A"/>
    <w:rsid w:val="003E6288"/>
    <w:rsid w:val="003E6CDA"/>
    <w:rsid w:val="003E6CFB"/>
    <w:rsid w:val="003E6F3B"/>
    <w:rsid w:val="003E77B8"/>
    <w:rsid w:val="003F07EE"/>
    <w:rsid w:val="003F0B7E"/>
    <w:rsid w:val="003F0EDE"/>
    <w:rsid w:val="003F1259"/>
    <w:rsid w:val="003F1D57"/>
    <w:rsid w:val="003F1E58"/>
    <w:rsid w:val="003F2282"/>
    <w:rsid w:val="003F23CF"/>
    <w:rsid w:val="003F26A1"/>
    <w:rsid w:val="003F2987"/>
    <w:rsid w:val="003F5167"/>
    <w:rsid w:val="003F534E"/>
    <w:rsid w:val="003F5612"/>
    <w:rsid w:val="003F6A5F"/>
    <w:rsid w:val="003F6A89"/>
    <w:rsid w:val="003F6C05"/>
    <w:rsid w:val="003F7223"/>
    <w:rsid w:val="003F7469"/>
    <w:rsid w:val="003F7493"/>
    <w:rsid w:val="00400FA8"/>
    <w:rsid w:val="00401C4B"/>
    <w:rsid w:val="00402E63"/>
    <w:rsid w:val="00403151"/>
    <w:rsid w:val="0040351E"/>
    <w:rsid w:val="00403D87"/>
    <w:rsid w:val="00403F26"/>
    <w:rsid w:val="004041F5"/>
    <w:rsid w:val="004044E5"/>
    <w:rsid w:val="00405588"/>
    <w:rsid w:val="004055EE"/>
    <w:rsid w:val="00406554"/>
    <w:rsid w:val="004066D0"/>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56CA"/>
    <w:rsid w:val="00415795"/>
    <w:rsid w:val="004167BB"/>
    <w:rsid w:val="00417326"/>
    <w:rsid w:val="00417D75"/>
    <w:rsid w:val="00420736"/>
    <w:rsid w:val="00421389"/>
    <w:rsid w:val="0042267C"/>
    <w:rsid w:val="0042340E"/>
    <w:rsid w:val="004235BB"/>
    <w:rsid w:val="004243B2"/>
    <w:rsid w:val="00426290"/>
    <w:rsid w:val="00431177"/>
    <w:rsid w:val="004315A5"/>
    <w:rsid w:val="00431BFD"/>
    <w:rsid w:val="0043299D"/>
    <w:rsid w:val="00432C1D"/>
    <w:rsid w:val="00433412"/>
    <w:rsid w:val="00434350"/>
    <w:rsid w:val="00435333"/>
    <w:rsid w:val="004358B8"/>
    <w:rsid w:val="00435DD8"/>
    <w:rsid w:val="0043665F"/>
    <w:rsid w:val="00436FD3"/>
    <w:rsid w:val="00437754"/>
    <w:rsid w:val="0043788D"/>
    <w:rsid w:val="00440059"/>
    <w:rsid w:val="0044051F"/>
    <w:rsid w:val="004405AB"/>
    <w:rsid w:val="00440DA1"/>
    <w:rsid w:val="00440DF1"/>
    <w:rsid w:val="004410BB"/>
    <w:rsid w:val="0044264D"/>
    <w:rsid w:val="004428D2"/>
    <w:rsid w:val="00442D9F"/>
    <w:rsid w:val="00443A0B"/>
    <w:rsid w:val="00443AF2"/>
    <w:rsid w:val="00443F5B"/>
    <w:rsid w:val="004445AB"/>
    <w:rsid w:val="00444814"/>
    <w:rsid w:val="00444CD7"/>
    <w:rsid w:val="0044576F"/>
    <w:rsid w:val="00445E8D"/>
    <w:rsid w:val="00446432"/>
    <w:rsid w:val="00446B62"/>
    <w:rsid w:val="00447C34"/>
    <w:rsid w:val="00447CB6"/>
    <w:rsid w:val="00450520"/>
    <w:rsid w:val="00450606"/>
    <w:rsid w:val="00450FC6"/>
    <w:rsid w:val="0045113F"/>
    <w:rsid w:val="00451468"/>
    <w:rsid w:val="00451CF0"/>
    <w:rsid w:val="00451EEA"/>
    <w:rsid w:val="004535DC"/>
    <w:rsid w:val="0045576F"/>
    <w:rsid w:val="00455AE7"/>
    <w:rsid w:val="00455C5F"/>
    <w:rsid w:val="00456315"/>
    <w:rsid w:val="00457225"/>
    <w:rsid w:val="004572B2"/>
    <w:rsid w:val="00457621"/>
    <w:rsid w:val="00457942"/>
    <w:rsid w:val="00460941"/>
    <w:rsid w:val="00460D0D"/>
    <w:rsid w:val="00460F8A"/>
    <w:rsid w:val="0046121C"/>
    <w:rsid w:val="00461433"/>
    <w:rsid w:val="00463915"/>
    <w:rsid w:val="004642E7"/>
    <w:rsid w:val="00465094"/>
    <w:rsid w:val="00465213"/>
    <w:rsid w:val="00465DF9"/>
    <w:rsid w:val="00466C2D"/>
    <w:rsid w:val="00470C75"/>
    <w:rsid w:val="00470CE3"/>
    <w:rsid w:val="00471002"/>
    <w:rsid w:val="004712F1"/>
    <w:rsid w:val="0047216B"/>
    <w:rsid w:val="00472289"/>
    <w:rsid w:val="00472A13"/>
    <w:rsid w:val="00472A5B"/>
    <w:rsid w:val="00472EFF"/>
    <w:rsid w:val="00473630"/>
    <w:rsid w:val="004738E2"/>
    <w:rsid w:val="00474D7E"/>
    <w:rsid w:val="00475624"/>
    <w:rsid w:val="004759A5"/>
    <w:rsid w:val="00476376"/>
    <w:rsid w:val="004765D7"/>
    <w:rsid w:val="004770F1"/>
    <w:rsid w:val="0047724F"/>
    <w:rsid w:val="00477725"/>
    <w:rsid w:val="0047778D"/>
    <w:rsid w:val="004777C6"/>
    <w:rsid w:val="00477B91"/>
    <w:rsid w:val="00477E2C"/>
    <w:rsid w:val="00477F83"/>
    <w:rsid w:val="0048071C"/>
    <w:rsid w:val="00480E53"/>
    <w:rsid w:val="004813DC"/>
    <w:rsid w:val="00481B8E"/>
    <w:rsid w:val="004821B7"/>
    <w:rsid w:val="004824DB"/>
    <w:rsid w:val="0048254D"/>
    <w:rsid w:val="0048276B"/>
    <w:rsid w:val="00482785"/>
    <w:rsid w:val="0048371B"/>
    <w:rsid w:val="00483722"/>
    <w:rsid w:val="00483C7A"/>
    <w:rsid w:val="00483FB7"/>
    <w:rsid w:val="00484A42"/>
    <w:rsid w:val="00485372"/>
    <w:rsid w:val="00485811"/>
    <w:rsid w:val="004858C1"/>
    <w:rsid w:val="004865A6"/>
    <w:rsid w:val="004867DF"/>
    <w:rsid w:val="00486DBE"/>
    <w:rsid w:val="0048730A"/>
    <w:rsid w:val="0048747E"/>
    <w:rsid w:val="004875F7"/>
    <w:rsid w:val="0048771D"/>
    <w:rsid w:val="00490739"/>
    <w:rsid w:val="00490CAB"/>
    <w:rsid w:val="0049135C"/>
    <w:rsid w:val="00491484"/>
    <w:rsid w:val="004919DD"/>
    <w:rsid w:val="004920AE"/>
    <w:rsid w:val="0049213B"/>
    <w:rsid w:val="0049218A"/>
    <w:rsid w:val="004921A6"/>
    <w:rsid w:val="0049267B"/>
    <w:rsid w:val="00492A5B"/>
    <w:rsid w:val="00492C7A"/>
    <w:rsid w:val="00493216"/>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D10"/>
    <w:rsid w:val="004A671F"/>
    <w:rsid w:val="004A7B51"/>
    <w:rsid w:val="004A7CFD"/>
    <w:rsid w:val="004A7D7C"/>
    <w:rsid w:val="004B0168"/>
    <w:rsid w:val="004B0AA5"/>
    <w:rsid w:val="004B102C"/>
    <w:rsid w:val="004B1E0F"/>
    <w:rsid w:val="004B248A"/>
    <w:rsid w:val="004B316D"/>
    <w:rsid w:val="004B3E0A"/>
    <w:rsid w:val="004B3EBB"/>
    <w:rsid w:val="004B512D"/>
    <w:rsid w:val="004B5C6E"/>
    <w:rsid w:val="004B5CB6"/>
    <w:rsid w:val="004B6438"/>
    <w:rsid w:val="004B6A39"/>
    <w:rsid w:val="004B6B3C"/>
    <w:rsid w:val="004B6DC2"/>
    <w:rsid w:val="004B7A79"/>
    <w:rsid w:val="004C0E6D"/>
    <w:rsid w:val="004C18D7"/>
    <w:rsid w:val="004C3357"/>
    <w:rsid w:val="004C465D"/>
    <w:rsid w:val="004C62E3"/>
    <w:rsid w:val="004C68B9"/>
    <w:rsid w:val="004C70BD"/>
    <w:rsid w:val="004C75FC"/>
    <w:rsid w:val="004C774D"/>
    <w:rsid w:val="004D0234"/>
    <w:rsid w:val="004D0247"/>
    <w:rsid w:val="004D0801"/>
    <w:rsid w:val="004D090A"/>
    <w:rsid w:val="004D0D54"/>
    <w:rsid w:val="004D0E27"/>
    <w:rsid w:val="004D0E65"/>
    <w:rsid w:val="004D0E8A"/>
    <w:rsid w:val="004D16FF"/>
    <w:rsid w:val="004D1B4B"/>
    <w:rsid w:val="004D1C78"/>
    <w:rsid w:val="004D26F0"/>
    <w:rsid w:val="004D2A97"/>
    <w:rsid w:val="004D2E6B"/>
    <w:rsid w:val="004D39E9"/>
    <w:rsid w:val="004D3C41"/>
    <w:rsid w:val="004D3CD7"/>
    <w:rsid w:val="004D3DFD"/>
    <w:rsid w:val="004D49EC"/>
    <w:rsid w:val="004D52D6"/>
    <w:rsid w:val="004D5525"/>
    <w:rsid w:val="004D562D"/>
    <w:rsid w:val="004D5CB3"/>
    <w:rsid w:val="004D5CBF"/>
    <w:rsid w:val="004D7ABD"/>
    <w:rsid w:val="004D7E87"/>
    <w:rsid w:val="004E0DD7"/>
    <w:rsid w:val="004E117D"/>
    <w:rsid w:val="004E18F8"/>
    <w:rsid w:val="004E220C"/>
    <w:rsid w:val="004E289D"/>
    <w:rsid w:val="004E3F56"/>
    <w:rsid w:val="004E3F72"/>
    <w:rsid w:val="004E4163"/>
    <w:rsid w:val="004E506C"/>
    <w:rsid w:val="004E555F"/>
    <w:rsid w:val="004E6084"/>
    <w:rsid w:val="004E6C61"/>
    <w:rsid w:val="004F0669"/>
    <w:rsid w:val="004F07A7"/>
    <w:rsid w:val="004F1605"/>
    <w:rsid w:val="004F17AF"/>
    <w:rsid w:val="004F2030"/>
    <w:rsid w:val="004F2DBC"/>
    <w:rsid w:val="004F2DDA"/>
    <w:rsid w:val="004F2E6B"/>
    <w:rsid w:val="004F4849"/>
    <w:rsid w:val="004F6556"/>
    <w:rsid w:val="004F70C6"/>
    <w:rsid w:val="004F798A"/>
    <w:rsid w:val="0050002C"/>
    <w:rsid w:val="00500148"/>
    <w:rsid w:val="00500C6B"/>
    <w:rsid w:val="00501B5F"/>
    <w:rsid w:val="00502D2D"/>
    <w:rsid w:val="00502EE7"/>
    <w:rsid w:val="00503C5E"/>
    <w:rsid w:val="00504F29"/>
    <w:rsid w:val="00505750"/>
    <w:rsid w:val="00505A98"/>
    <w:rsid w:val="00505C8D"/>
    <w:rsid w:val="00506BF3"/>
    <w:rsid w:val="00507572"/>
    <w:rsid w:val="005110E4"/>
    <w:rsid w:val="00511BFE"/>
    <w:rsid w:val="00512377"/>
    <w:rsid w:val="00513024"/>
    <w:rsid w:val="00514887"/>
    <w:rsid w:val="00516F1E"/>
    <w:rsid w:val="00517884"/>
    <w:rsid w:val="005200F6"/>
    <w:rsid w:val="005200FB"/>
    <w:rsid w:val="005206D7"/>
    <w:rsid w:val="005207B1"/>
    <w:rsid w:val="00520CC0"/>
    <w:rsid w:val="00521427"/>
    <w:rsid w:val="00521485"/>
    <w:rsid w:val="005216C3"/>
    <w:rsid w:val="005239E5"/>
    <w:rsid w:val="005265EC"/>
    <w:rsid w:val="005268E4"/>
    <w:rsid w:val="00526970"/>
    <w:rsid w:val="00526D10"/>
    <w:rsid w:val="00526D94"/>
    <w:rsid w:val="00527260"/>
    <w:rsid w:val="005278CA"/>
    <w:rsid w:val="00527AB3"/>
    <w:rsid w:val="0053071C"/>
    <w:rsid w:val="00530B88"/>
    <w:rsid w:val="00530CC1"/>
    <w:rsid w:val="00531712"/>
    <w:rsid w:val="00531EFE"/>
    <w:rsid w:val="005329DE"/>
    <w:rsid w:val="00532DB6"/>
    <w:rsid w:val="0053386F"/>
    <w:rsid w:val="005338CD"/>
    <w:rsid w:val="00533987"/>
    <w:rsid w:val="00533B1C"/>
    <w:rsid w:val="00533BE8"/>
    <w:rsid w:val="005354A9"/>
    <w:rsid w:val="0053578B"/>
    <w:rsid w:val="00535B9E"/>
    <w:rsid w:val="0053669F"/>
    <w:rsid w:val="00536726"/>
    <w:rsid w:val="00536DC0"/>
    <w:rsid w:val="005378B1"/>
    <w:rsid w:val="00540EB3"/>
    <w:rsid w:val="005416FD"/>
    <w:rsid w:val="0054238C"/>
    <w:rsid w:val="00542585"/>
    <w:rsid w:val="0054316E"/>
    <w:rsid w:val="00544321"/>
    <w:rsid w:val="00544794"/>
    <w:rsid w:val="00544A7D"/>
    <w:rsid w:val="00545404"/>
    <w:rsid w:val="005455CA"/>
    <w:rsid w:val="00547203"/>
    <w:rsid w:val="00547B69"/>
    <w:rsid w:val="00547F28"/>
    <w:rsid w:val="00550D02"/>
    <w:rsid w:val="00551C90"/>
    <w:rsid w:val="005521C0"/>
    <w:rsid w:val="00552753"/>
    <w:rsid w:val="00553823"/>
    <w:rsid w:val="00553D22"/>
    <w:rsid w:val="00553FF4"/>
    <w:rsid w:val="005549FE"/>
    <w:rsid w:val="00554C0B"/>
    <w:rsid w:val="00554F5B"/>
    <w:rsid w:val="00555BDA"/>
    <w:rsid w:val="00555D82"/>
    <w:rsid w:val="005568AB"/>
    <w:rsid w:val="00557000"/>
    <w:rsid w:val="005574C5"/>
    <w:rsid w:val="0055798A"/>
    <w:rsid w:val="00557FA5"/>
    <w:rsid w:val="00560DC0"/>
    <w:rsid w:val="00561D9B"/>
    <w:rsid w:val="00562977"/>
    <w:rsid w:val="0056300B"/>
    <w:rsid w:val="00563184"/>
    <w:rsid w:val="00565708"/>
    <w:rsid w:val="00566BD9"/>
    <w:rsid w:val="005672CD"/>
    <w:rsid w:val="005675F6"/>
    <w:rsid w:val="00567C14"/>
    <w:rsid w:val="00567F60"/>
    <w:rsid w:val="00570647"/>
    <w:rsid w:val="00570A0E"/>
    <w:rsid w:val="005713EB"/>
    <w:rsid w:val="00571451"/>
    <w:rsid w:val="00571B0C"/>
    <w:rsid w:val="005724C2"/>
    <w:rsid w:val="00572677"/>
    <w:rsid w:val="0057319F"/>
    <w:rsid w:val="00573388"/>
    <w:rsid w:val="0057352F"/>
    <w:rsid w:val="005736A8"/>
    <w:rsid w:val="00573A36"/>
    <w:rsid w:val="00573CC2"/>
    <w:rsid w:val="00574EAE"/>
    <w:rsid w:val="00576364"/>
    <w:rsid w:val="00576516"/>
    <w:rsid w:val="005776BB"/>
    <w:rsid w:val="00580465"/>
    <w:rsid w:val="00580D28"/>
    <w:rsid w:val="00581005"/>
    <w:rsid w:val="00582285"/>
    <w:rsid w:val="00582BAE"/>
    <w:rsid w:val="00583951"/>
    <w:rsid w:val="00584564"/>
    <w:rsid w:val="00584F59"/>
    <w:rsid w:val="0058585F"/>
    <w:rsid w:val="00585B70"/>
    <w:rsid w:val="005862A2"/>
    <w:rsid w:val="00586DA6"/>
    <w:rsid w:val="0058746E"/>
    <w:rsid w:val="00587698"/>
    <w:rsid w:val="0058785D"/>
    <w:rsid w:val="005906F8"/>
    <w:rsid w:val="005912B5"/>
    <w:rsid w:val="005913E3"/>
    <w:rsid w:val="00592B6E"/>
    <w:rsid w:val="0059338C"/>
    <w:rsid w:val="00594286"/>
    <w:rsid w:val="005943D6"/>
    <w:rsid w:val="00594D45"/>
    <w:rsid w:val="00594FA3"/>
    <w:rsid w:val="0059524A"/>
    <w:rsid w:val="00595E1C"/>
    <w:rsid w:val="00595E53"/>
    <w:rsid w:val="00596109"/>
    <w:rsid w:val="00596736"/>
    <w:rsid w:val="00596E5A"/>
    <w:rsid w:val="005979B2"/>
    <w:rsid w:val="005A05A2"/>
    <w:rsid w:val="005A0E50"/>
    <w:rsid w:val="005A102B"/>
    <w:rsid w:val="005A115D"/>
    <w:rsid w:val="005A1383"/>
    <w:rsid w:val="005A138A"/>
    <w:rsid w:val="005A14F7"/>
    <w:rsid w:val="005A162B"/>
    <w:rsid w:val="005A1874"/>
    <w:rsid w:val="005A2F3C"/>
    <w:rsid w:val="005A2F89"/>
    <w:rsid w:val="005A3332"/>
    <w:rsid w:val="005A3333"/>
    <w:rsid w:val="005A4857"/>
    <w:rsid w:val="005A52DD"/>
    <w:rsid w:val="005A57C5"/>
    <w:rsid w:val="005A6770"/>
    <w:rsid w:val="005A735E"/>
    <w:rsid w:val="005A755B"/>
    <w:rsid w:val="005A7880"/>
    <w:rsid w:val="005B103D"/>
    <w:rsid w:val="005B129C"/>
    <w:rsid w:val="005B13D3"/>
    <w:rsid w:val="005B1AF1"/>
    <w:rsid w:val="005B3275"/>
    <w:rsid w:val="005B3D56"/>
    <w:rsid w:val="005B44BB"/>
    <w:rsid w:val="005B4786"/>
    <w:rsid w:val="005B48EF"/>
    <w:rsid w:val="005B4F2F"/>
    <w:rsid w:val="005B4F47"/>
    <w:rsid w:val="005B5096"/>
    <w:rsid w:val="005B58F8"/>
    <w:rsid w:val="005B5BD7"/>
    <w:rsid w:val="005B5F58"/>
    <w:rsid w:val="005B6229"/>
    <w:rsid w:val="005B6ACD"/>
    <w:rsid w:val="005C09B4"/>
    <w:rsid w:val="005C1BAF"/>
    <w:rsid w:val="005C1E30"/>
    <w:rsid w:val="005C1E56"/>
    <w:rsid w:val="005C2379"/>
    <w:rsid w:val="005C2C9D"/>
    <w:rsid w:val="005C2D0A"/>
    <w:rsid w:val="005C335F"/>
    <w:rsid w:val="005C385F"/>
    <w:rsid w:val="005C40D9"/>
    <w:rsid w:val="005C4488"/>
    <w:rsid w:val="005C459F"/>
    <w:rsid w:val="005C52AD"/>
    <w:rsid w:val="005C61A2"/>
    <w:rsid w:val="005C6FBE"/>
    <w:rsid w:val="005C7C17"/>
    <w:rsid w:val="005D08F1"/>
    <w:rsid w:val="005D1496"/>
    <w:rsid w:val="005D1676"/>
    <w:rsid w:val="005D18C9"/>
    <w:rsid w:val="005D1A29"/>
    <w:rsid w:val="005D1D1E"/>
    <w:rsid w:val="005D1E21"/>
    <w:rsid w:val="005D214D"/>
    <w:rsid w:val="005D3686"/>
    <w:rsid w:val="005D5B02"/>
    <w:rsid w:val="005D5D21"/>
    <w:rsid w:val="005D5E18"/>
    <w:rsid w:val="005D63FA"/>
    <w:rsid w:val="005D750D"/>
    <w:rsid w:val="005E0753"/>
    <w:rsid w:val="005E0815"/>
    <w:rsid w:val="005E0EA1"/>
    <w:rsid w:val="005E19B1"/>
    <w:rsid w:val="005E1B40"/>
    <w:rsid w:val="005E236E"/>
    <w:rsid w:val="005E23F3"/>
    <w:rsid w:val="005E26E5"/>
    <w:rsid w:val="005E375E"/>
    <w:rsid w:val="005E38B7"/>
    <w:rsid w:val="005E3BF0"/>
    <w:rsid w:val="005E3CC5"/>
    <w:rsid w:val="005E411F"/>
    <w:rsid w:val="005E4188"/>
    <w:rsid w:val="005E5FFA"/>
    <w:rsid w:val="005E7D0A"/>
    <w:rsid w:val="005E7ECA"/>
    <w:rsid w:val="005F08A7"/>
    <w:rsid w:val="005F14E1"/>
    <w:rsid w:val="005F1BEA"/>
    <w:rsid w:val="005F1C90"/>
    <w:rsid w:val="005F25FD"/>
    <w:rsid w:val="005F2C47"/>
    <w:rsid w:val="005F3757"/>
    <w:rsid w:val="005F423E"/>
    <w:rsid w:val="005F43B2"/>
    <w:rsid w:val="005F47B7"/>
    <w:rsid w:val="005F493D"/>
    <w:rsid w:val="005F4AAD"/>
    <w:rsid w:val="005F5079"/>
    <w:rsid w:val="005F57E7"/>
    <w:rsid w:val="005F5920"/>
    <w:rsid w:val="005F5E37"/>
    <w:rsid w:val="005F69C0"/>
    <w:rsid w:val="005F766B"/>
    <w:rsid w:val="00601177"/>
    <w:rsid w:val="006026F8"/>
    <w:rsid w:val="00602E7A"/>
    <w:rsid w:val="00603956"/>
    <w:rsid w:val="006042E7"/>
    <w:rsid w:val="006049EE"/>
    <w:rsid w:val="00605F09"/>
    <w:rsid w:val="0060713D"/>
    <w:rsid w:val="00607BE6"/>
    <w:rsid w:val="00610E6C"/>
    <w:rsid w:val="00612146"/>
    <w:rsid w:val="0061216F"/>
    <w:rsid w:val="006121D4"/>
    <w:rsid w:val="0061375F"/>
    <w:rsid w:val="00613848"/>
    <w:rsid w:val="006140B8"/>
    <w:rsid w:val="00614210"/>
    <w:rsid w:val="006147A5"/>
    <w:rsid w:val="00614835"/>
    <w:rsid w:val="0061581B"/>
    <w:rsid w:val="0061588C"/>
    <w:rsid w:val="00615BC9"/>
    <w:rsid w:val="00615C81"/>
    <w:rsid w:val="00615DC1"/>
    <w:rsid w:val="0061675A"/>
    <w:rsid w:val="00617672"/>
    <w:rsid w:val="006176B8"/>
    <w:rsid w:val="006179CD"/>
    <w:rsid w:val="00617ADC"/>
    <w:rsid w:val="00617D14"/>
    <w:rsid w:val="0062012B"/>
    <w:rsid w:val="006204CC"/>
    <w:rsid w:val="006222EF"/>
    <w:rsid w:val="00622991"/>
    <w:rsid w:val="00623175"/>
    <w:rsid w:val="006236A4"/>
    <w:rsid w:val="006237F8"/>
    <w:rsid w:val="00624679"/>
    <w:rsid w:val="00624898"/>
    <w:rsid w:val="00624DFE"/>
    <w:rsid w:val="00626103"/>
    <w:rsid w:val="0062682F"/>
    <w:rsid w:val="00630FF7"/>
    <w:rsid w:val="0063151F"/>
    <w:rsid w:val="00631870"/>
    <w:rsid w:val="00631DF0"/>
    <w:rsid w:val="00632644"/>
    <w:rsid w:val="006326CC"/>
    <w:rsid w:val="00632798"/>
    <w:rsid w:val="00632B7B"/>
    <w:rsid w:val="00632CB0"/>
    <w:rsid w:val="00632D66"/>
    <w:rsid w:val="00634030"/>
    <w:rsid w:val="00634433"/>
    <w:rsid w:val="00634936"/>
    <w:rsid w:val="006362D6"/>
    <w:rsid w:val="006369E2"/>
    <w:rsid w:val="00636A4A"/>
    <w:rsid w:val="00636D6F"/>
    <w:rsid w:val="006370BE"/>
    <w:rsid w:val="00637C16"/>
    <w:rsid w:val="00637ECB"/>
    <w:rsid w:val="00637F15"/>
    <w:rsid w:val="00640005"/>
    <w:rsid w:val="006404C4"/>
    <w:rsid w:val="00640F5E"/>
    <w:rsid w:val="00641764"/>
    <w:rsid w:val="00641859"/>
    <w:rsid w:val="00641BE8"/>
    <w:rsid w:val="0064366A"/>
    <w:rsid w:val="00643731"/>
    <w:rsid w:val="00643C9B"/>
    <w:rsid w:val="0064474F"/>
    <w:rsid w:val="0064650F"/>
    <w:rsid w:val="00646CE4"/>
    <w:rsid w:val="006473B3"/>
    <w:rsid w:val="006479B3"/>
    <w:rsid w:val="00647D99"/>
    <w:rsid w:val="00647FC0"/>
    <w:rsid w:val="006501A2"/>
    <w:rsid w:val="00650970"/>
    <w:rsid w:val="00650ED3"/>
    <w:rsid w:val="00651045"/>
    <w:rsid w:val="00651334"/>
    <w:rsid w:val="00651524"/>
    <w:rsid w:val="00652231"/>
    <w:rsid w:val="00652242"/>
    <w:rsid w:val="006525C2"/>
    <w:rsid w:val="00652B36"/>
    <w:rsid w:val="006533D4"/>
    <w:rsid w:val="00653636"/>
    <w:rsid w:val="0065366C"/>
    <w:rsid w:val="006537D6"/>
    <w:rsid w:val="00653A32"/>
    <w:rsid w:val="00655803"/>
    <w:rsid w:val="00655A1E"/>
    <w:rsid w:val="00656118"/>
    <w:rsid w:val="00656F03"/>
    <w:rsid w:val="00657CF1"/>
    <w:rsid w:val="006603AC"/>
    <w:rsid w:val="006608D4"/>
    <w:rsid w:val="00660954"/>
    <w:rsid w:val="00662466"/>
    <w:rsid w:val="006625AC"/>
    <w:rsid w:val="0066298A"/>
    <w:rsid w:val="00662C85"/>
    <w:rsid w:val="006632AC"/>
    <w:rsid w:val="00663407"/>
    <w:rsid w:val="00663B72"/>
    <w:rsid w:val="00663DCF"/>
    <w:rsid w:val="006642BB"/>
    <w:rsid w:val="006642F5"/>
    <w:rsid w:val="00664489"/>
    <w:rsid w:val="00664A58"/>
    <w:rsid w:val="00664F82"/>
    <w:rsid w:val="006662C5"/>
    <w:rsid w:val="006666A9"/>
    <w:rsid w:val="00666867"/>
    <w:rsid w:val="00666A47"/>
    <w:rsid w:val="00670CBD"/>
    <w:rsid w:val="00670CE4"/>
    <w:rsid w:val="00672BE3"/>
    <w:rsid w:val="00672C34"/>
    <w:rsid w:val="00672F5A"/>
    <w:rsid w:val="0067368F"/>
    <w:rsid w:val="00673E96"/>
    <w:rsid w:val="006743B7"/>
    <w:rsid w:val="0067511C"/>
    <w:rsid w:val="00676314"/>
    <w:rsid w:val="00677ADA"/>
    <w:rsid w:val="00677B01"/>
    <w:rsid w:val="0068026F"/>
    <w:rsid w:val="0068195B"/>
    <w:rsid w:val="0068281C"/>
    <w:rsid w:val="00684004"/>
    <w:rsid w:val="0068405E"/>
    <w:rsid w:val="006847E4"/>
    <w:rsid w:val="006850DD"/>
    <w:rsid w:val="0068557B"/>
    <w:rsid w:val="00686C1B"/>
    <w:rsid w:val="006908CD"/>
    <w:rsid w:val="00690B90"/>
    <w:rsid w:val="00691E7E"/>
    <w:rsid w:val="006927A5"/>
    <w:rsid w:val="00692A2C"/>
    <w:rsid w:val="00693BF3"/>
    <w:rsid w:val="00694315"/>
    <w:rsid w:val="00694ABC"/>
    <w:rsid w:val="00694C16"/>
    <w:rsid w:val="00694C54"/>
    <w:rsid w:val="00694C8E"/>
    <w:rsid w:val="00695005"/>
    <w:rsid w:val="0069612A"/>
    <w:rsid w:val="00696746"/>
    <w:rsid w:val="00696979"/>
    <w:rsid w:val="00697E35"/>
    <w:rsid w:val="006A03AB"/>
    <w:rsid w:val="006A145D"/>
    <w:rsid w:val="006A164A"/>
    <w:rsid w:val="006A2040"/>
    <w:rsid w:val="006A204B"/>
    <w:rsid w:val="006A22DD"/>
    <w:rsid w:val="006A305E"/>
    <w:rsid w:val="006A37A7"/>
    <w:rsid w:val="006A3F3C"/>
    <w:rsid w:val="006A4C22"/>
    <w:rsid w:val="006A5D49"/>
    <w:rsid w:val="006A7099"/>
    <w:rsid w:val="006A7F61"/>
    <w:rsid w:val="006B0B88"/>
    <w:rsid w:val="006B0D74"/>
    <w:rsid w:val="006B1CCB"/>
    <w:rsid w:val="006B344A"/>
    <w:rsid w:val="006B365C"/>
    <w:rsid w:val="006B3B7F"/>
    <w:rsid w:val="006B627D"/>
    <w:rsid w:val="006B6E29"/>
    <w:rsid w:val="006B7129"/>
    <w:rsid w:val="006B75AC"/>
    <w:rsid w:val="006B77FA"/>
    <w:rsid w:val="006C08D3"/>
    <w:rsid w:val="006C142C"/>
    <w:rsid w:val="006C147D"/>
    <w:rsid w:val="006C178A"/>
    <w:rsid w:val="006C1992"/>
    <w:rsid w:val="006C1AB3"/>
    <w:rsid w:val="006C2126"/>
    <w:rsid w:val="006C2782"/>
    <w:rsid w:val="006C2BF6"/>
    <w:rsid w:val="006C2FDF"/>
    <w:rsid w:val="006C322E"/>
    <w:rsid w:val="006C3678"/>
    <w:rsid w:val="006C3703"/>
    <w:rsid w:val="006C45F4"/>
    <w:rsid w:val="006C515D"/>
    <w:rsid w:val="006C7761"/>
    <w:rsid w:val="006C78E5"/>
    <w:rsid w:val="006C79D4"/>
    <w:rsid w:val="006D0DB7"/>
    <w:rsid w:val="006D1931"/>
    <w:rsid w:val="006D20F2"/>
    <w:rsid w:val="006D26E1"/>
    <w:rsid w:val="006D2CEA"/>
    <w:rsid w:val="006D2D8B"/>
    <w:rsid w:val="006D2E9D"/>
    <w:rsid w:val="006D32F4"/>
    <w:rsid w:val="006D3C23"/>
    <w:rsid w:val="006D4E18"/>
    <w:rsid w:val="006D4FE3"/>
    <w:rsid w:val="006D60A3"/>
    <w:rsid w:val="006D67CC"/>
    <w:rsid w:val="006D6A4B"/>
    <w:rsid w:val="006D749A"/>
    <w:rsid w:val="006D7CA8"/>
    <w:rsid w:val="006E1DA9"/>
    <w:rsid w:val="006E1DF1"/>
    <w:rsid w:val="006E201D"/>
    <w:rsid w:val="006E2AC2"/>
    <w:rsid w:val="006E2BA6"/>
    <w:rsid w:val="006E2BC3"/>
    <w:rsid w:val="006E2D9D"/>
    <w:rsid w:val="006E2DDC"/>
    <w:rsid w:val="006E2E12"/>
    <w:rsid w:val="006E34DC"/>
    <w:rsid w:val="006E4065"/>
    <w:rsid w:val="006E4555"/>
    <w:rsid w:val="006E4E9A"/>
    <w:rsid w:val="006E4EC3"/>
    <w:rsid w:val="006E5F58"/>
    <w:rsid w:val="006E6EF5"/>
    <w:rsid w:val="006E6F88"/>
    <w:rsid w:val="006E759D"/>
    <w:rsid w:val="006F0419"/>
    <w:rsid w:val="006F05AA"/>
    <w:rsid w:val="006F0750"/>
    <w:rsid w:val="006F1B45"/>
    <w:rsid w:val="006F1E1A"/>
    <w:rsid w:val="006F2768"/>
    <w:rsid w:val="006F3DD6"/>
    <w:rsid w:val="006F4447"/>
    <w:rsid w:val="006F46F1"/>
    <w:rsid w:val="006F5548"/>
    <w:rsid w:val="006F58B0"/>
    <w:rsid w:val="006F5A3D"/>
    <w:rsid w:val="006F626D"/>
    <w:rsid w:val="006F6446"/>
    <w:rsid w:val="006F6B3E"/>
    <w:rsid w:val="006F7494"/>
    <w:rsid w:val="006F7DB6"/>
    <w:rsid w:val="00701FEB"/>
    <w:rsid w:val="007044C6"/>
    <w:rsid w:val="00705146"/>
    <w:rsid w:val="00705A25"/>
    <w:rsid w:val="00705BEA"/>
    <w:rsid w:val="00706165"/>
    <w:rsid w:val="00707895"/>
    <w:rsid w:val="00707C7F"/>
    <w:rsid w:val="00710276"/>
    <w:rsid w:val="00710899"/>
    <w:rsid w:val="00710B07"/>
    <w:rsid w:val="007111CC"/>
    <w:rsid w:val="0071234A"/>
    <w:rsid w:val="0071252F"/>
    <w:rsid w:val="007126C0"/>
    <w:rsid w:val="0071308F"/>
    <w:rsid w:val="0071337F"/>
    <w:rsid w:val="007135C5"/>
    <w:rsid w:val="00713E29"/>
    <w:rsid w:val="007145F8"/>
    <w:rsid w:val="00714C4E"/>
    <w:rsid w:val="00715C90"/>
    <w:rsid w:val="00715CA2"/>
    <w:rsid w:val="00715F55"/>
    <w:rsid w:val="00716676"/>
    <w:rsid w:val="00716FA6"/>
    <w:rsid w:val="00717415"/>
    <w:rsid w:val="007176F0"/>
    <w:rsid w:val="0072059E"/>
    <w:rsid w:val="00720639"/>
    <w:rsid w:val="00721048"/>
    <w:rsid w:val="00721D49"/>
    <w:rsid w:val="007230A4"/>
    <w:rsid w:val="007237EA"/>
    <w:rsid w:val="00724FE4"/>
    <w:rsid w:val="00725AE5"/>
    <w:rsid w:val="00726EE0"/>
    <w:rsid w:val="00727126"/>
    <w:rsid w:val="007273EF"/>
    <w:rsid w:val="007275D3"/>
    <w:rsid w:val="00727B91"/>
    <w:rsid w:val="00730711"/>
    <w:rsid w:val="00731284"/>
    <w:rsid w:val="00731555"/>
    <w:rsid w:val="0073276E"/>
    <w:rsid w:val="007328D1"/>
    <w:rsid w:val="00732E1A"/>
    <w:rsid w:val="00733177"/>
    <w:rsid w:val="007334AB"/>
    <w:rsid w:val="00733C9C"/>
    <w:rsid w:val="00733EC8"/>
    <w:rsid w:val="00733EDF"/>
    <w:rsid w:val="007355A6"/>
    <w:rsid w:val="00735B0D"/>
    <w:rsid w:val="00736022"/>
    <w:rsid w:val="00736B4B"/>
    <w:rsid w:val="00736C14"/>
    <w:rsid w:val="00737DCD"/>
    <w:rsid w:val="007403B2"/>
    <w:rsid w:val="00741566"/>
    <w:rsid w:val="00741703"/>
    <w:rsid w:val="00741B18"/>
    <w:rsid w:val="00741B46"/>
    <w:rsid w:val="00742773"/>
    <w:rsid w:val="007433AC"/>
    <w:rsid w:val="00743F51"/>
    <w:rsid w:val="00745607"/>
    <w:rsid w:val="007459B0"/>
    <w:rsid w:val="00745BD1"/>
    <w:rsid w:val="00745D53"/>
    <w:rsid w:val="00746998"/>
    <w:rsid w:val="00746D21"/>
    <w:rsid w:val="0074714C"/>
    <w:rsid w:val="00747B61"/>
    <w:rsid w:val="00750B6D"/>
    <w:rsid w:val="0075139D"/>
    <w:rsid w:val="0075163A"/>
    <w:rsid w:val="00752906"/>
    <w:rsid w:val="00752DD8"/>
    <w:rsid w:val="00753317"/>
    <w:rsid w:val="00753DEA"/>
    <w:rsid w:val="00753E57"/>
    <w:rsid w:val="007553D7"/>
    <w:rsid w:val="00755427"/>
    <w:rsid w:val="00756894"/>
    <w:rsid w:val="007575B8"/>
    <w:rsid w:val="00757965"/>
    <w:rsid w:val="00760751"/>
    <w:rsid w:val="00760CD8"/>
    <w:rsid w:val="00760FA9"/>
    <w:rsid w:val="007627B7"/>
    <w:rsid w:val="00763128"/>
    <w:rsid w:val="007631BC"/>
    <w:rsid w:val="007633D4"/>
    <w:rsid w:val="007634C0"/>
    <w:rsid w:val="00763956"/>
    <w:rsid w:val="00764162"/>
    <w:rsid w:val="0076453A"/>
    <w:rsid w:val="0076460C"/>
    <w:rsid w:val="00764772"/>
    <w:rsid w:val="007649D3"/>
    <w:rsid w:val="00765343"/>
    <w:rsid w:val="007654A2"/>
    <w:rsid w:val="007654DA"/>
    <w:rsid w:val="00765C16"/>
    <w:rsid w:val="007663B3"/>
    <w:rsid w:val="00766C89"/>
    <w:rsid w:val="007672F4"/>
    <w:rsid w:val="007700E8"/>
    <w:rsid w:val="007702E4"/>
    <w:rsid w:val="00770441"/>
    <w:rsid w:val="00770468"/>
    <w:rsid w:val="00770A60"/>
    <w:rsid w:val="007713D9"/>
    <w:rsid w:val="007726C7"/>
    <w:rsid w:val="00774250"/>
    <w:rsid w:val="00775180"/>
    <w:rsid w:val="00775550"/>
    <w:rsid w:val="007756ED"/>
    <w:rsid w:val="00775DC3"/>
    <w:rsid w:val="00776FE3"/>
    <w:rsid w:val="00777916"/>
    <w:rsid w:val="00777B99"/>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7C5"/>
    <w:rsid w:val="00791E54"/>
    <w:rsid w:val="0079301A"/>
    <w:rsid w:val="007936A8"/>
    <w:rsid w:val="00793A6D"/>
    <w:rsid w:val="00793BD4"/>
    <w:rsid w:val="00793D2F"/>
    <w:rsid w:val="00793FA3"/>
    <w:rsid w:val="007945DD"/>
    <w:rsid w:val="00794F6E"/>
    <w:rsid w:val="00796514"/>
    <w:rsid w:val="00796744"/>
    <w:rsid w:val="00796F41"/>
    <w:rsid w:val="00797493"/>
    <w:rsid w:val="00797AB7"/>
    <w:rsid w:val="007A01BF"/>
    <w:rsid w:val="007A0D05"/>
    <w:rsid w:val="007A2B0B"/>
    <w:rsid w:val="007A2D20"/>
    <w:rsid w:val="007A3E8B"/>
    <w:rsid w:val="007A4C12"/>
    <w:rsid w:val="007A5044"/>
    <w:rsid w:val="007A602C"/>
    <w:rsid w:val="007A6242"/>
    <w:rsid w:val="007A69F8"/>
    <w:rsid w:val="007A6C37"/>
    <w:rsid w:val="007A6E24"/>
    <w:rsid w:val="007A7FFB"/>
    <w:rsid w:val="007B0611"/>
    <w:rsid w:val="007B0A1A"/>
    <w:rsid w:val="007B1735"/>
    <w:rsid w:val="007B1C55"/>
    <w:rsid w:val="007B2AD3"/>
    <w:rsid w:val="007B2B6D"/>
    <w:rsid w:val="007B2CD4"/>
    <w:rsid w:val="007B33B7"/>
    <w:rsid w:val="007B36FD"/>
    <w:rsid w:val="007B398D"/>
    <w:rsid w:val="007B43CC"/>
    <w:rsid w:val="007B4655"/>
    <w:rsid w:val="007B682B"/>
    <w:rsid w:val="007B6DAF"/>
    <w:rsid w:val="007C1124"/>
    <w:rsid w:val="007C11CB"/>
    <w:rsid w:val="007C1D27"/>
    <w:rsid w:val="007C27F4"/>
    <w:rsid w:val="007C4150"/>
    <w:rsid w:val="007C4320"/>
    <w:rsid w:val="007C4ED4"/>
    <w:rsid w:val="007C52BF"/>
    <w:rsid w:val="007C5375"/>
    <w:rsid w:val="007C5961"/>
    <w:rsid w:val="007C59CB"/>
    <w:rsid w:val="007C6181"/>
    <w:rsid w:val="007C6E4D"/>
    <w:rsid w:val="007C7E75"/>
    <w:rsid w:val="007D0AAB"/>
    <w:rsid w:val="007D101B"/>
    <w:rsid w:val="007D10E0"/>
    <w:rsid w:val="007D1633"/>
    <w:rsid w:val="007D1A69"/>
    <w:rsid w:val="007D2352"/>
    <w:rsid w:val="007D2680"/>
    <w:rsid w:val="007D29FD"/>
    <w:rsid w:val="007D2BB8"/>
    <w:rsid w:val="007D2CB1"/>
    <w:rsid w:val="007D3363"/>
    <w:rsid w:val="007D47A3"/>
    <w:rsid w:val="007D50FA"/>
    <w:rsid w:val="007D5A05"/>
    <w:rsid w:val="007D5F8C"/>
    <w:rsid w:val="007D70D0"/>
    <w:rsid w:val="007D79B3"/>
    <w:rsid w:val="007E07AE"/>
    <w:rsid w:val="007E0A27"/>
    <w:rsid w:val="007E1912"/>
    <w:rsid w:val="007E1E21"/>
    <w:rsid w:val="007E1F3B"/>
    <w:rsid w:val="007E2283"/>
    <w:rsid w:val="007E2586"/>
    <w:rsid w:val="007E2E6E"/>
    <w:rsid w:val="007E30D5"/>
    <w:rsid w:val="007E34D2"/>
    <w:rsid w:val="007E3BE5"/>
    <w:rsid w:val="007E3D23"/>
    <w:rsid w:val="007E445B"/>
    <w:rsid w:val="007E4710"/>
    <w:rsid w:val="007E4775"/>
    <w:rsid w:val="007E5D35"/>
    <w:rsid w:val="007E61A7"/>
    <w:rsid w:val="007E629F"/>
    <w:rsid w:val="007E79D7"/>
    <w:rsid w:val="007F1012"/>
    <w:rsid w:val="007F139F"/>
    <w:rsid w:val="007F1BAD"/>
    <w:rsid w:val="007F2079"/>
    <w:rsid w:val="007F368C"/>
    <w:rsid w:val="007F391B"/>
    <w:rsid w:val="007F4CB5"/>
    <w:rsid w:val="007F4E31"/>
    <w:rsid w:val="007F4EC6"/>
    <w:rsid w:val="007F5B75"/>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E96"/>
    <w:rsid w:val="0080443D"/>
    <w:rsid w:val="008049CF"/>
    <w:rsid w:val="008061EC"/>
    <w:rsid w:val="00806579"/>
    <w:rsid w:val="00811174"/>
    <w:rsid w:val="008119C5"/>
    <w:rsid w:val="00811B49"/>
    <w:rsid w:val="00811CBC"/>
    <w:rsid w:val="00812023"/>
    <w:rsid w:val="008127B8"/>
    <w:rsid w:val="00813661"/>
    <w:rsid w:val="00813F9F"/>
    <w:rsid w:val="00814786"/>
    <w:rsid w:val="00814DCC"/>
    <w:rsid w:val="00815D0F"/>
    <w:rsid w:val="00815E48"/>
    <w:rsid w:val="008160C8"/>
    <w:rsid w:val="0081624D"/>
    <w:rsid w:val="008163F2"/>
    <w:rsid w:val="00816811"/>
    <w:rsid w:val="00821434"/>
    <w:rsid w:val="00822041"/>
    <w:rsid w:val="00822759"/>
    <w:rsid w:val="00824DF6"/>
    <w:rsid w:val="0082558A"/>
    <w:rsid w:val="00825C99"/>
    <w:rsid w:val="00827B8E"/>
    <w:rsid w:val="0083203D"/>
    <w:rsid w:val="008327BE"/>
    <w:rsid w:val="0083354D"/>
    <w:rsid w:val="00833A0A"/>
    <w:rsid w:val="00836403"/>
    <w:rsid w:val="00836563"/>
    <w:rsid w:val="0083661E"/>
    <w:rsid w:val="00836759"/>
    <w:rsid w:val="008376AB"/>
    <w:rsid w:val="00837F1E"/>
    <w:rsid w:val="00840EBB"/>
    <w:rsid w:val="008416D6"/>
    <w:rsid w:val="0084280A"/>
    <w:rsid w:val="0084299B"/>
    <w:rsid w:val="00842C8F"/>
    <w:rsid w:val="008434F4"/>
    <w:rsid w:val="008436F7"/>
    <w:rsid w:val="00843C5C"/>
    <w:rsid w:val="008444B0"/>
    <w:rsid w:val="00844619"/>
    <w:rsid w:val="00844B03"/>
    <w:rsid w:val="008456D9"/>
    <w:rsid w:val="0084571A"/>
    <w:rsid w:val="00845A3F"/>
    <w:rsid w:val="00845D3F"/>
    <w:rsid w:val="00846200"/>
    <w:rsid w:val="008463FF"/>
    <w:rsid w:val="0084641B"/>
    <w:rsid w:val="0084665B"/>
    <w:rsid w:val="00846966"/>
    <w:rsid w:val="0085003A"/>
    <w:rsid w:val="008502AF"/>
    <w:rsid w:val="00851CCD"/>
    <w:rsid w:val="0085291E"/>
    <w:rsid w:val="00852C4B"/>
    <w:rsid w:val="00854918"/>
    <w:rsid w:val="0085491E"/>
    <w:rsid w:val="008551BE"/>
    <w:rsid w:val="008552D6"/>
    <w:rsid w:val="00855694"/>
    <w:rsid w:val="0085655A"/>
    <w:rsid w:val="008568BE"/>
    <w:rsid w:val="008574A0"/>
    <w:rsid w:val="00857AB0"/>
    <w:rsid w:val="008602F0"/>
    <w:rsid w:val="00860EFA"/>
    <w:rsid w:val="008610FE"/>
    <w:rsid w:val="008617F3"/>
    <w:rsid w:val="00861A3B"/>
    <w:rsid w:val="00863261"/>
    <w:rsid w:val="00864639"/>
    <w:rsid w:val="008663EB"/>
    <w:rsid w:val="0086656A"/>
    <w:rsid w:val="008665CF"/>
    <w:rsid w:val="00866738"/>
    <w:rsid w:val="00866C02"/>
    <w:rsid w:val="00867307"/>
    <w:rsid w:val="008673F0"/>
    <w:rsid w:val="00867620"/>
    <w:rsid w:val="00867F5D"/>
    <w:rsid w:val="008703FF"/>
    <w:rsid w:val="00870881"/>
    <w:rsid w:val="0087125A"/>
    <w:rsid w:val="00871650"/>
    <w:rsid w:val="00872355"/>
    <w:rsid w:val="0087236F"/>
    <w:rsid w:val="00872CB5"/>
    <w:rsid w:val="008731C5"/>
    <w:rsid w:val="008738A0"/>
    <w:rsid w:val="00874C62"/>
    <w:rsid w:val="00874C6D"/>
    <w:rsid w:val="00875B0E"/>
    <w:rsid w:val="00875CFB"/>
    <w:rsid w:val="00875ED5"/>
    <w:rsid w:val="00876CA0"/>
    <w:rsid w:val="00877372"/>
    <w:rsid w:val="008777DB"/>
    <w:rsid w:val="008807AE"/>
    <w:rsid w:val="0088094C"/>
    <w:rsid w:val="00880B59"/>
    <w:rsid w:val="00880B5D"/>
    <w:rsid w:val="00880C14"/>
    <w:rsid w:val="0088142A"/>
    <w:rsid w:val="00881788"/>
    <w:rsid w:val="008823A3"/>
    <w:rsid w:val="0088256B"/>
    <w:rsid w:val="008828C6"/>
    <w:rsid w:val="008828FB"/>
    <w:rsid w:val="00883915"/>
    <w:rsid w:val="00884B82"/>
    <w:rsid w:val="00885D48"/>
    <w:rsid w:val="00885FFC"/>
    <w:rsid w:val="008864FB"/>
    <w:rsid w:val="008866A2"/>
    <w:rsid w:val="008867EF"/>
    <w:rsid w:val="00887401"/>
    <w:rsid w:val="00890638"/>
    <w:rsid w:val="00890898"/>
    <w:rsid w:val="00891337"/>
    <w:rsid w:val="00891DCD"/>
    <w:rsid w:val="008927DE"/>
    <w:rsid w:val="008943CE"/>
    <w:rsid w:val="008947F5"/>
    <w:rsid w:val="008948AD"/>
    <w:rsid w:val="00894BA6"/>
    <w:rsid w:val="00894C91"/>
    <w:rsid w:val="0089751D"/>
    <w:rsid w:val="008A00D7"/>
    <w:rsid w:val="008A0975"/>
    <w:rsid w:val="008A1064"/>
    <w:rsid w:val="008A1771"/>
    <w:rsid w:val="008A19F3"/>
    <w:rsid w:val="008A1ACA"/>
    <w:rsid w:val="008A2274"/>
    <w:rsid w:val="008A228F"/>
    <w:rsid w:val="008A297F"/>
    <w:rsid w:val="008A299E"/>
    <w:rsid w:val="008A2D98"/>
    <w:rsid w:val="008A3887"/>
    <w:rsid w:val="008A3B8C"/>
    <w:rsid w:val="008A44E1"/>
    <w:rsid w:val="008A5F85"/>
    <w:rsid w:val="008A6515"/>
    <w:rsid w:val="008A68D1"/>
    <w:rsid w:val="008A6C7F"/>
    <w:rsid w:val="008A7927"/>
    <w:rsid w:val="008A7B7E"/>
    <w:rsid w:val="008B15D8"/>
    <w:rsid w:val="008B1D8F"/>
    <w:rsid w:val="008B22E8"/>
    <w:rsid w:val="008B2AAF"/>
    <w:rsid w:val="008B33A7"/>
    <w:rsid w:val="008B3468"/>
    <w:rsid w:val="008B3B5E"/>
    <w:rsid w:val="008B3E08"/>
    <w:rsid w:val="008B4CFE"/>
    <w:rsid w:val="008B58B8"/>
    <w:rsid w:val="008B58F8"/>
    <w:rsid w:val="008B5F68"/>
    <w:rsid w:val="008B625F"/>
    <w:rsid w:val="008B7B4B"/>
    <w:rsid w:val="008C0406"/>
    <w:rsid w:val="008C05C3"/>
    <w:rsid w:val="008C1196"/>
    <w:rsid w:val="008C1A88"/>
    <w:rsid w:val="008C1B1B"/>
    <w:rsid w:val="008C1F7C"/>
    <w:rsid w:val="008C20AE"/>
    <w:rsid w:val="008C27CE"/>
    <w:rsid w:val="008C4763"/>
    <w:rsid w:val="008C5BE0"/>
    <w:rsid w:val="008C5E4E"/>
    <w:rsid w:val="008C626F"/>
    <w:rsid w:val="008C677D"/>
    <w:rsid w:val="008C684A"/>
    <w:rsid w:val="008C6E0A"/>
    <w:rsid w:val="008C7A58"/>
    <w:rsid w:val="008D00D2"/>
    <w:rsid w:val="008D21DE"/>
    <w:rsid w:val="008D22CA"/>
    <w:rsid w:val="008D2843"/>
    <w:rsid w:val="008D2E90"/>
    <w:rsid w:val="008D351A"/>
    <w:rsid w:val="008D395A"/>
    <w:rsid w:val="008D3CA5"/>
    <w:rsid w:val="008D5B8B"/>
    <w:rsid w:val="008D5FB8"/>
    <w:rsid w:val="008D6312"/>
    <w:rsid w:val="008D6B31"/>
    <w:rsid w:val="008D799E"/>
    <w:rsid w:val="008D7A1D"/>
    <w:rsid w:val="008D7A28"/>
    <w:rsid w:val="008D7B00"/>
    <w:rsid w:val="008E0517"/>
    <w:rsid w:val="008E1A1B"/>
    <w:rsid w:val="008E1CD0"/>
    <w:rsid w:val="008E2689"/>
    <w:rsid w:val="008E304D"/>
    <w:rsid w:val="008E33A1"/>
    <w:rsid w:val="008E3E46"/>
    <w:rsid w:val="008E4092"/>
    <w:rsid w:val="008E4B12"/>
    <w:rsid w:val="008E68B1"/>
    <w:rsid w:val="008E7049"/>
    <w:rsid w:val="008F022F"/>
    <w:rsid w:val="008F039D"/>
    <w:rsid w:val="008F04B0"/>
    <w:rsid w:val="008F0A73"/>
    <w:rsid w:val="008F11C8"/>
    <w:rsid w:val="008F284F"/>
    <w:rsid w:val="008F29A1"/>
    <w:rsid w:val="008F2AB2"/>
    <w:rsid w:val="008F3730"/>
    <w:rsid w:val="008F3DF3"/>
    <w:rsid w:val="008F41E1"/>
    <w:rsid w:val="008F4EDC"/>
    <w:rsid w:val="008F66E7"/>
    <w:rsid w:val="008F76A3"/>
    <w:rsid w:val="00900B1E"/>
    <w:rsid w:val="0090300F"/>
    <w:rsid w:val="00903588"/>
    <w:rsid w:val="009039F1"/>
    <w:rsid w:val="00903DE5"/>
    <w:rsid w:val="00904498"/>
    <w:rsid w:val="00905176"/>
    <w:rsid w:val="009057D9"/>
    <w:rsid w:val="00905FCC"/>
    <w:rsid w:val="009061FE"/>
    <w:rsid w:val="00906BDB"/>
    <w:rsid w:val="00906FB7"/>
    <w:rsid w:val="00907D11"/>
    <w:rsid w:val="00910EAA"/>
    <w:rsid w:val="00910F5F"/>
    <w:rsid w:val="00911864"/>
    <w:rsid w:val="00912454"/>
    <w:rsid w:val="009129F1"/>
    <w:rsid w:val="00913ACC"/>
    <w:rsid w:val="00913BEB"/>
    <w:rsid w:val="00913E30"/>
    <w:rsid w:val="00914317"/>
    <w:rsid w:val="00914EEE"/>
    <w:rsid w:val="009152C6"/>
    <w:rsid w:val="00916DF2"/>
    <w:rsid w:val="00920965"/>
    <w:rsid w:val="00921171"/>
    <w:rsid w:val="009216B6"/>
    <w:rsid w:val="00922A53"/>
    <w:rsid w:val="0092307C"/>
    <w:rsid w:val="009231D3"/>
    <w:rsid w:val="0092344C"/>
    <w:rsid w:val="00924945"/>
    <w:rsid w:val="00924D28"/>
    <w:rsid w:val="00924D62"/>
    <w:rsid w:val="0092593F"/>
    <w:rsid w:val="009260B9"/>
    <w:rsid w:val="009269C8"/>
    <w:rsid w:val="00930098"/>
    <w:rsid w:val="0093219B"/>
    <w:rsid w:val="009322D3"/>
    <w:rsid w:val="009326A6"/>
    <w:rsid w:val="00932D7B"/>
    <w:rsid w:val="00932E57"/>
    <w:rsid w:val="009332D3"/>
    <w:rsid w:val="0093429F"/>
    <w:rsid w:val="009346D0"/>
    <w:rsid w:val="00935100"/>
    <w:rsid w:val="00935328"/>
    <w:rsid w:val="00935401"/>
    <w:rsid w:val="00936B4D"/>
    <w:rsid w:val="00936BBD"/>
    <w:rsid w:val="00936D85"/>
    <w:rsid w:val="00937D72"/>
    <w:rsid w:val="009403CB"/>
    <w:rsid w:val="00940E5B"/>
    <w:rsid w:val="00941445"/>
    <w:rsid w:val="009427FE"/>
    <w:rsid w:val="00942B70"/>
    <w:rsid w:val="00942F02"/>
    <w:rsid w:val="00944092"/>
    <w:rsid w:val="009450D2"/>
    <w:rsid w:val="009454D3"/>
    <w:rsid w:val="00945FC3"/>
    <w:rsid w:val="00946299"/>
    <w:rsid w:val="0094638F"/>
    <w:rsid w:val="009466A4"/>
    <w:rsid w:val="00946F06"/>
    <w:rsid w:val="00946F37"/>
    <w:rsid w:val="00947096"/>
    <w:rsid w:val="00947330"/>
    <w:rsid w:val="00947865"/>
    <w:rsid w:val="00947B4E"/>
    <w:rsid w:val="00950BAE"/>
    <w:rsid w:val="00951CAA"/>
    <w:rsid w:val="00952462"/>
    <w:rsid w:val="0095311B"/>
    <w:rsid w:val="00953D24"/>
    <w:rsid w:val="00955021"/>
    <w:rsid w:val="00955B70"/>
    <w:rsid w:val="009562A0"/>
    <w:rsid w:val="0095662D"/>
    <w:rsid w:val="00957769"/>
    <w:rsid w:val="00957E32"/>
    <w:rsid w:val="00957FD4"/>
    <w:rsid w:val="0096086B"/>
    <w:rsid w:val="00960BCD"/>
    <w:rsid w:val="00960D54"/>
    <w:rsid w:val="00960FEE"/>
    <w:rsid w:val="00961084"/>
    <w:rsid w:val="009615E6"/>
    <w:rsid w:val="0096190C"/>
    <w:rsid w:val="00961D34"/>
    <w:rsid w:val="00962F4F"/>
    <w:rsid w:val="009630F6"/>
    <w:rsid w:val="009643C6"/>
    <w:rsid w:val="0096654A"/>
    <w:rsid w:val="009670AB"/>
    <w:rsid w:val="00967927"/>
    <w:rsid w:val="00970EC3"/>
    <w:rsid w:val="00971726"/>
    <w:rsid w:val="00971802"/>
    <w:rsid w:val="00971D6F"/>
    <w:rsid w:val="009726A7"/>
    <w:rsid w:val="00972DD8"/>
    <w:rsid w:val="00973EE1"/>
    <w:rsid w:val="00974518"/>
    <w:rsid w:val="0097494A"/>
    <w:rsid w:val="00975A2D"/>
    <w:rsid w:val="00975FC3"/>
    <w:rsid w:val="009762C3"/>
    <w:rsid w:val="00977496"/>
    <w:rsid w:val="009775C7"/>
    <w:rsid w:val="0097785F"/>
    <w:rsid w:val="00977923"/>
    <w:rsid w:val="00977E03"/>
    <w:rsid w:val="009809FC"/>
    <w:rsid w:val="00980BB4"/>
    <w:rsid w:val="00981E1A"/>
    <w:rsid w:val="0098244A"/>
    <w:rsid w:val="0098299E"/>
    <w:rsid w:val="00982AA4"/>
    <w:rsid w:val="00982C0A"/>
    <w:rsid w:val="00982E58"/>
    <w:rsid w:val="00982FBA"/>
    <w:rsid w:val="00983763"/>
    <w:rsid w:val="00984496"/>
    <w:rsid w:val="0098487C"/>
    <w:rsid w:val="00984C2B"/>
    <w:rsid w:val="00984FFB"/>
    <w:rsid w:val="009851D2"/>
    <w:rsid w:val="00985E6B"/>
    <w:rsid w:val="00985F02"/>
    <w:rsid w:val="00986267"/>
    <w:rsid w:val="00986C25"/>
    <w:rsid w:val="0098713B"/>
    <w:rsid w:val="0098799E"/>
    <w:rsid w:val="0099024A"/>
    <w:rsid w:val="00990312"/>
    <w:rsid w:val="009905F1"/>
    <w:rsid w:val="00990A83"/>
    <w:rsid w:val="00991024"/>
    <w:rsid w:val="00991D73"/>
    <w:rsid w:val="00991EFB"/>
    <w:rsid w:val="00992766"/>
    <w:rsid w:val="00992960"/>
    <w:rsid w:val="00992CF1"/>
    <w:rsid w:val="00993209"/>
    <w:rsid w:val="00993472"/>
    <w:rsid w:val="00993DFA"/>
    <w:rsid w:val="00993E22"/>
    <w:rsid w:val="009972A4"/>
    <w:rsid w:val="00997C03"/>
    <w:rsid w:val="00997E70"/>
    <w:rsid w:val="009A1C72"/>
    <w:rsid w:val="009A1DFB"/>
    <w:rsid w:val="009A1E61"/>
    <w:rsid w:val="009A2286"/>
    <w:rsid w:val="009A3154"/>
    <w:rsid w:val="009A341F"/>
    <w:rsid w:val="009A34E5"/>
    <w:rsid w:val="009A389D"/>
    <w:rsid w:val="009A3BFF"/>
    <w:rsid w:val="009A4229"/>
    <w:rsid w:val="009A4F94"/>
    <w:rsid w:val="009A505C"/>
    <w:rsid w:val="009A5F9F"/>
    <w:rsid w:val="009A647E"/>
    <w:rsid w:val="009A6621"/>
    <w:rsid w:val="009A6947"/>
    <w:rsid w:val="009A79D2"/>
    <w:rsid w:val="009B067C"/>
    <w:rsid w:val="009B13A0"/>
    <w:rsid w:val="009B286F"/>
    <w:rsid w:val="009B2C8D"/>
    <w:rsid w:val="009B2F08"/>
    <w:rsid w:val="009B371B"/>
    <w:rsid w:val="009B4B46"/>
    <w:rsid w:val="009B563A"/>
    <w:rsid w:val="009B5DA0"/>
    <w:rsid w:val="009B6252"/>
    <w:rsid w:val="009B71E8"/>
    <w:rsid w:val="009B7CBC"/>
    <w:rsid w:val="009B7DFF"/>
    <w:rsid w:val="009C0E68"/>
    <w:rsid w:val="009C0F77"/>
    <w:rsid w:val="009C1CD8"/>
    <w:rsid w:val="009C32CB"/>
    <w:rsid w:val="009C36F3"/>
    <w:rsid w:val="009C41D8"/>
    <w:rsid w:val="009C44C5"/>
    <w:rsid w:val="009C468E"/>
    <w:rsid w:val="009C48C9"/>
    <w:rsid w:val="009C4904"/>
    <w:rsid w:val="009C7A93"/>
    <w:rsid w:val="009D052A"/>
    <w:rsid w:val="009D0C36"/>
    <w:rsid w:val="009D348E"/>
    <w:rsid w:val="009D4A03"/>
    <w:rsid w:val="009D560A"/>
    <w:rsid w:val="009D710A"/>
    <w:rsid w:val="009D726A"/>
    <w:rsid w:val="009D74BC"/>
    <w:rsid w:val="009E0CAE"/>
    <w:rsid w:val="009E269C"/>
    <w:rsid w:val="009E2750"/>
    <w:rsid w:val="009E27B4"/>
    <w:rsid w:val="009E40E3"/>
    <w:rsid w:val="009E41F3"/>
    <w:rsid w:val="009E42F7"/>
    <w:rsid w:val="009E4CC9"/>
    <w:rsid w:val="009E53C6"/>
    <w:rsid w:val="009E6B01"/>
    <w:rsid w:val="009E6CF1"/>
    <w:rsid w:val="009E7E3F"/>
    <w:rsid w:val="009F18AC"/>
    <w:rsid w:val="009F31F4"/>
    <w:rsid w:val="009F33ED"/>
    <w:rsid w:val="009F4D03"/>
    <w:rsid w:val="009F5E07"/>
    <w:rsid w:val="009F5E5D"/>
    <w:rsid w:val="009F5E8D"/>
    <w:rsid w:val="009F73FD"/>
    <w:rsid w:val="009F764A"/>
    <w:rsid w:val="009F7725"/>
    <w:rsid w:val="009F77A2"/>
    <w:rsid w:val="00A00F54"/>
    <w:rsid w:val="00A014E1"/>
    <w:rsid w:val="00A01528"/>
    <w:rsid w:val="00A02710"/>
    <w:rsid w:val="00A02B6E"/>
    <w:rsid w:val="00A03998"/>
    <w:rsid w:val="00A03AAC"/>
    <w:rsid w:val="00A03F9C"/>
    <w:rsid w:val="00A0466D"/>
    <w:rsid w:val="00A047C6"/>
    <w:rsid w:val="00A058D9"/>
    <w:rsid w:val="00A06A84"/>
    <w:rsid w:val="00A06C04"/>
    <w:rsid w:val="00A06D49"/>
    <w:rsid w:val="00A07987"/>
    <w:rsid w:val="00A10167"/>
    <w:rsid w:val="00A108BA"/>
    <w:rsid w:val="00A110EF"/>
    <w:rsid w:val="00A1291F"/>
    <w:rsid w:val="00A12C1B"/>
    <w:rsid w:val="00A12ECD"/>
    <w:rsid w:val="00A13012"/>
    <w:rsid w:val="00A13133"/>
    <w:rsid w:val="00A13153"/>
    <w:rsid w:val="00A1387C"/>
    <w:rsid w:val="00A13AE3"/>
    <w:rsid w:val="00A13EAB"/>
    <w:rsid w:val="00A13F38"/>
    <w:rsid w:val="00A14CE0"/>
    <w:rsid w:val="00A15056"/>
    <w:rsid w:val="00A150BB"/>
    <w:rsid w:val="00A15244"/>
    <w:rsid w:val="00A153C5"/>
    <w:rsid w:val="00A15BB4"/>
    <w:rsid w:val="00A160F0"/>
    <w:rsid w:val="00A16EF0"/>
    <w:rsid w:val="00A1731E"/>
    <w:rsid w:val="00A17AAF"/>
    <w:rsid w:val="00A20EFA"/>
    <w:rsid w:val="00A22D49"/>
    <w:rsid w:val="00A230BC"/>
    <w:rsid w:val="00A23E61"/>
    <w:rsid w:val="00A24D7C"/>
    <w:rsid w:val="00A25280"/>
    <w:rsid w:val="00A25891"/>
    <w:rsid w:val="00A25D04"/>
    <w:rsid w:val="00A263C6"/>
    <w:rsid w:val="00A269CF"/>
    <w:rsid w:val="00A303CB"/>
    <w:rsid w:val="00A303F6"/>
    <w:rsid w:val="00A30596"/>
    <w:rsid w:val="00A3065C"/>
    <w:rsid w:val="00A314DD"/>
    <w:rsid w:val="00A321C6"/>
    <w:rsid w:val="00A32AD4"/>
    <w:rsid w:val="00A3302D"/>
    <w:rsid w:val="00A33529"/>
    <w:rsid w:val="00A33BE7"/>
    <w:rsid w:val="00A33F59"/>
    <w:rsid w:val="00A346DD"/>
    <w:rsid w:val="00A36909"/>
    <w:rsid w:val="00A3777A"/>
    <w:rsid w:val="00A37905"/>
    <w:rsid w:val="00A37F61"/>
    <w:rsid w:val="00A40F01"/>
    <w:rsid w:val="00A42390"/>
    <w:rsid w:val="00A4253C"/>
    <w:rsid w:val="00A42754"/>
    <w:rsid w:val="00A438B3"/>
    <w:rsid w:val="00A43AD7"/>
    <w:rsid w:val="00A44550"/>
    <w:rsid w:val="00A44B67"/>
    <w:rsid w:val="00A44EAA"/>
    <w:rsid w:val="00A44EAC"/>
    <w:rsid w:val="00A45C23"/>
    <w:rsid w:val="00A46150"/>
    <w:rsid w:val="00A462EE"/>
    <w:rsid w:val="00A46611"/>
    <w:rsid w:val="00A46946"/>
    <w:rsid w:val="00A46CEC"/>
    <w:rsid w:val="00A46E1B"/>
    <w:rsid w:val="00A46F1D"/>
    <w:rsid w:val="00A47155"/>
    <w:rsid w:val="00A474BF"/>
    <w:rsid w:val="00A47542"/>
    <w:rsid w:val="00A50579"/>
    <w:rsid w:val="00A5060E"/>
    <w:rsid w:val="00A5083C"/>
    <w:rsid w:val="00A50F88"/>
    <w:rsid w:val="00A51B01"/>
    <w:rsid w:val="00A51CC9"/>
    <w:rsid w:val="00A525F7"/>
    <w:rsid w:val="00A52BDE"/>
    <w:rsid w:val="00A5313A"/>
    <w:rsid w:val="00A53C37"/>
    <w:rsid w:val="00A54479"/>
    <w:rsid w:val="00A553F8"/>
    <w:rsid w:val="00A554EF"/>
    <w:rsid w:val="00A5573C"/>
    <w:rsid w:val="00A5586E"/>
    <w:rsid w:val="00A564F2"/>
    <w:rsid w:val="00A56ABF"/>
    <w:rsid w:val="00A56D3A"/>
    <w:rsid w:val="00A576FD"/>
    <w:rsid w:val="00A5775A"/>
    <w:rsid w:val="00A5799D"/>
    <w:rsid w:val="00A57B1C"/>
    <w:rsid w:val="00A57B6F"/>
    <w:rsid w:val="00A60B78"/>
    <w:rsid w:val="00A60D85"/>
    <w:rsid w:val="00A61C84"/>
    <w:rsid w:val="00A64725"/>
    <w:rsid w:val="00A64FB3"/>
    <w:rsid w:val="00A65245"/>
    <w:rsid w:val="00A65462"/>
    <w:rsid w:val="00A6754C"/>
    <w:rsid w:val="00A700EF"/>
    <w:rsid w:val="00A701A5"/>
    <w:rsid w:val="00A702A7"/>
    <w:rsid w:val="00A703E5"/>
    <w:rsid w:val="00A7130A"/>
    <w:rsid w:val="00A72492"/>
    <w:rsid w:val="00A73635"/>
    <w:rsid w:val="00A74C39"/>
    <w:rsid w:val="00A75312"/>
    <w:rsid w:val="00A75868"/>
    <w:rsid w:val="00A76391"/>
    <w:rsid w:val="00A76666"/>
    <w:rsid w:val="00A76E11"/>
    <w:rsid w:val="00A77605"/>
    <w:rsid w:val="00A7772E"/>
    <w:rsid w:val="00A77BBF"/>
    <w:rsid w:val="00A77EC1"/>
    <w:rsid w:val="00A77F9A"/>
    <w:rsid w:val="00A80B27"/>
    <w:rsid w:val="00A818EE"/>
    <w:rsid w:val="00A81E2A"/>
    <w:rsid w:val="00A8223F"/>
    <w:rsid w:val="00A84014"/>
    <w:rsid w:val="00A8444F"/>
    <w:rsid w:val="00A846D6"/>
    <w:rsid w:val="00A85051"/>
    <w:rsid w:val="00A864F4"/>
    <w:rsid w:val="00A86B88"/>
    <w:rsid w:val="00A86CE3"/>
    <w:rsid w:val="00A8700B"/>
    <w:rsid w:val="00A87AF2"/>
    <w:rsid w:val="00A90A08"/>
    <w:rsid w:val="00A914AC"/>
    <w:rsid w:val="00A91D76"/>
    <w:rsid w:val="00A94175"/>
    <w:rsid w:val="00A941CA"/>
    <w:rsid w:val="00A94F9E"/>
    <w:rsid w:val="00A951A4"/>
    <w:rsid w:val="00AA00FA"/>
    <w:rsid w:val="00AA014E"/>
    <w:rsid w:val="00AA0600"/>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C0C0A"/>
    <w:rsid w:val="00AC1587"/>
    <w:rsid w:val="00AC1851"/>
    <w:rsid w:val="00AC1A43"/>
    <w:rsid w:val="00AC1B85"/>
    <w:rsid w:val="00AC1C9A"/>
    <w:rsid w:val="00AC22AB"/>
    <w:rsid w:val="00AC2737"/>
    <w:rsid w:val="00AC2B7E"/>
    <w:rsid w:val="00AC2F43"/>
    <w:rsid w:val="00AC32E6"/>
    <w:rsid w:val="00AC32F3"/>
    <w:rsid w:val="00AC337B"/>
    <w:rsid w:val="00AC37CB"/>
    <w:rsid w:val="00AC451C"/>
    <w:rsid w:val="00AC516D"/>
    <w:rsid w:val="00AC5AEE"/>
    <w:rsid w:val="00AC62A8"/>
    <w:rsid w:val="00AD1E10"/>
    <w:rsid w:val="00AD2CBB"/>
    <w:rsid w:val="00AD2EF1"/>
    <w:rsid w:val="00AD4BCC"/>
    <w:rsid w:val="00AD4F13"/>
    <w:rsid w:val="00AD55CB"/>
    <w:rsid w:val="00AD55D2"/>
    <w:rsid w:val="00AD5A55"/>
    <w:rsid w:val="00AD5A92"/>
    <w:rsid w:val="00AD5B7E"/>
    <w:rsid w:val="00AD5CBB"/>
    <w:rsid w:val="00AD7144"/>
    <w:rsid w:val="00AD7568"/>
    <w:rsid w:val="00AE02A2"/>
    <w:rsid w:val="00AE0B11"/>
    <w:rsid w:val="00AE1BD7"/>
    <w:rsid w:val="00AE2266"/>
    <w:rsid w:val="00AE2767"/>
    <w:rsid w:val="00AE3036"/>
    <w:rsid w:val="00AE3042"/>
    <w:rsid w:val="00AE340B"/>
    <w:rsid w:val="00AE3EC3"/>
    <w:rsid w:val="00AE41A0"/>
    <w:rsid w:val="00AE4F91"/>
    <w:rsid w:val="00AE54C6"/>
    <w:rsid w:val="00AE5586"/>
    <w:rsid w:val="00AE5B4A"/>
    <w:rsid w:val="00AE61EF"/>
    <w:rsid w:val="00AE6245"/>
    <w:rsid w:val="00AE6A72"/>
    <w:rsid w:val="00AE7D92"/>
    <w:rsid w:val="00AF0139"/>
    <w:rsid w:val="00AF08E9"/>
    <w:rsid w:val="00AF0F8E"/>
    <w:rsid w:val="00AF1020"/>
    <w:rsid w:val="00AF12C3"/>
    <w:rsid w:val="00AF16A2"/>
    <w:rsid w:val="00AF1AC2"/>
    <w:rsid w:val="00AF20A2"/>
    <w:rsid w:val="00AF30DA"/>
    <w:rsid w:val="00AF3E34"/>
    <w:rsid w:val="00AF3F59"/>
    <w:rsid w:val="00AF47DF"/>
    <w:rsid w:val="00AF5D96"/>
    <w:rsid w:val="00AF6AB2"/>
    <w:rsid w:val="00AF6DD7"/>
    <w:rsid w:val="00AF7B6E"/>
    <w:rsid w:val="00B00C4C"/>
    <w:rsid w:val="00B00F13"/>
    <w:rsid w:val="00B018B9"/>
    <w:rsid w:val="00B01FE0"/>
    <w:rsid w:val="00B02719"/>
    <w:rsid w:val="00B03E87"/>
    <w:rsid w:val="00B03FFD"/>
    <w:rsid w:val="00B0473F"/>
    <w:rsid w:val="00B04959"/>
    <w:rsid w:val="00B05121"/>
    <w:rsid w:val="00B063E2"/>
    <w:rsid w:val="00B06841"/>
    <w:rsid w:val="00B07331"/>
    <w:rsid w:val="00B07EF4"/>
    <w:rsid w:val="00B11517"/>
    <w:rsid w:val="00B12111"/>
    <w:rsid w:val="00B128AE"/>
    <w:rsid w:val="00B12B0E"/>
    <w:rsid w:val="00B12B5D"/>
    <w:rsid w:val="00B132E7"/>
    <w:rsid w:val="00B137B8"/>
    <w:rsid w:val="00B140FC"/>
    <w:rsid w:val="00B14D76"/>
    <w:rsid w:val="00B157BD"/>
    <w:rsid w:val="00B16FB1"/>
    <w:rsid w:val="00B17440"/>
    <w:rsid w:val="00B17F0A"/>
    <w:rsid w:val="00B24DAE"/>
    <w:rsid w:val="00B254AD"/>
    <w:rsid w:val="00B25A89"/>
    <w:rsid w:val="00B261CF"/>
    <w:rsid w:val="00B26205"/>
    <w:rsid w:val="00B26784"/>
    <w:rsid w:val="00B278E3"/>
    <w:rsid w:val="00B305F0"/>
    <w:rsid w:val="00B30901"/>
    <w:rsid w:val="00B30C5E"/>
    <w:rsid w:val="00B31DC3"/>
    <w:rsid w:val="00B32455"/>
    <w:rsid w:val="00B324DC"/>
    <w:rsid w:val="00B32A3E"/>
    <w:rsid w:val="00B339C4"/>
    <w:rsid w:val="00B33C4C"/>
    <w:rsid w:val="00B33EDF"/>
    <w:rsid w:val="00B34469"/>
    <w:rsid w:val="00B34C35"/>
    <w:rsid w:val="00B34E04"/>
    <w:rsid w:val="00B34EC0"/>
    <w:rsid w:val="00B36516"/>
    <w:rsid w:val="00B40E79"/>
    <w:rsid w:val="00B4181F"/>
    <w:rsid w:val="00B41A4F"/>
    <w:rsid w:val="00B41C7F"/>
    <w:rsid w:val="00B41F6B"/>
    <w:rsid w:val="00B4215E"/>
    <w:rsid w:val="00B4242D"/>
    <w:rsid w:val="00B428BA"/>
    <w:rsid w:val="00B42E1B"/>
    <w:rsid w:val="00B42E4C"/>
    <w:rsid w:val="00B46108"/>
    <w:rsid w:val="00B4610A"/>
    <w:rsid w:val="00B4655D"/>
    <w:rsid w:val="00B46AEB"/>
    <w:rsid w:val="00B46C56"/>
    <w:rsid w:val="00B46E4C"/>
    <w:rsid w:val="00B46F5D"/>
    <w:rsid w:val="00B47135"/>
    <w:rsid w:val="00B47552"/>
    <w:rsid w:val="00B47865"/>
    <w:rsid w:val="00B50183"/>
    <w:rsid w:val="00B51419"/>
    <w:rsid w:val="00B514EF"/>
    <w:rsid w:val="00B51B74"/>
    <w:rsid w:val="00B520C2"/>
    <w:rsid w:val="00B52247"/>
    <w:rsid w:val="00B52AF9"/>
    <w:rsid w:val="00B53CEF"/>
    <w:rsid w:val="00B54301"/>
    <w:rsid w:val="00B544B1"/>
    <w:rsid w:val="00B54FC9"/>
    <w:rsid w:val="00B561D7"/>
    <w:rsid w:val="00B56876"/>
    <w:rsid w:val="00B570A6"/>
    <w:rsid w:val="00B61E79"/>
    <w:rsid w:val="00B6203D"/>
    <w:rsid w:val="00B635A4"/>
    <w:rsid w:val="00B64004"/>
    <w:rsid w:val="00B649F9"/>
    <w:rsid w:val="00B655B5"/>
    <w:rsid w:val="00B66203"/>
    <w:rsid w:val="00B667E8"/>
    <w:rsid w:val="00B668A8"/>
    <w:rsid w:val="00B672EA"/>
    <w:rsid w:val="00B67538"/>
    <w:rsid w:val="00B70699"/>
    <w:rsid w:val="00B70759"/>
    <w:rsid w:val="00B7174B"/>
    <w:rsid w:val="00B71C79"/>
    <w:rsid w:val="00B7201F"/>
    <w:rsid w:val="00B7225F"/>
    <w:rsid w:val="00B72828"/>
    <w:rsid w:val="00B7322A"/>
    <w:rsid w:val="00B740D8"/>
    <w:rsid w:val="00B7494F"/>
    <w:rsid w:val="00B74EC4"/>
    <w:rsid w:val="00B74FCA"/>
    <w:rsid w:val="00B75A29"/>
    <w:rsid w:val="00B75A9C"/>
    <w:rsid w:val="00B7657B"/>
    <w:rsid w:val="00B77E16"/>
    <w:rsid w:val="00B802E1"/>
    <w:rsid w:val="00B80C2A"/>
    <w:rsid w:val="00B81071"/>
    <w:rsid w:val="00B813D5"/>
    <w:rsid w:val="00B8174F"/>
    <w:rsid w:val="00B81B08"/>
    <w:rsid w:val="00B82920"/>
    <w:rsid w:val="00B83727"/>
    <w:rsid w:val="00B842A4"/>
    <w:rsid w:val="00B85577"/>
    <w:rsid w:val="00B85EBA"/>
    <w:rsid w:val="00B85EE3"/>
    <w:rsid w:val="00B869A2"/>
    <w:rsid w:val="00B86D74"/>
    <w:rsid w:val="00B86D95"/>
    <w:rsid w:val="00B86DE1"/>
    <w:rsid w:val="00B87C59"/>
    <w:rsid w:val="00B87F5E"/>
    <w:rsid w:val="00B90481"/>
    <w:rsid w:val="00B90D08"/>
    <w:rsid w:val="00B91091"/>
    <w:rsid w:val="00B91F2F"/>
    <w:rsid w:val="00B91F34"/>
    <w:rsid w:val="00B922F0"/>
    <w:rsid w:val="00B92843"/>
    <w:rsid w:val="00B92CB4"/>
    <w:rsid w:val="00B935C1"/>
    <w:rsid w:val="00B94292"/>
    <w:rsid w:val="00B9485B"/>
    <w:rsid w:val="00B9495B"/>
    <w:rsid w:val="00B950D8"/>
    <w:rsid w:val="00B951CE"/>
    <w:rsid w:val="00B951EB"/>
    <w:rsid w:val="00B95D69"/>
    <w:rsid w:val="00B97239"/>
    <w:rsid w:val="00BA0010"/>
    <w:rsid w:val="00BA058F"/>
    <w:rsid w:val="00BA061F"/>
    <w:rsid w:val="00BA0BFE"/>
    <w:rsid w:val="00BA0E9E"/>
    <w:rsid w:val="00BA184B"/>
    <w:rsid w:val="00BA19EE"/>
    <w:rsid w:val="00BA213A"/>
    <w:rsid w:val="00BA21DB"/>
    <w:rsid w:val="00BA25F4"/>
    <w:rsid w:val="00BA34FE"/>
    <w:rsid w:val="00BA37C0"/>
    <w:rsid w:val="00BA43D6"/>
    <w:rsid w:val="00BA4618"/>
    <w:rsid w:val="00BA51F3"/>
    <w:rsid w:val="00BA58BF"/>
    <w:rsid w:val="00BA64F7"/>
    <w:rsid w:val="00BA66B2"/>
    <w:rsid w:val="00BA7ED4"/>
    <w:rsid w:val="00BB04A6"/>
    <w:rsid w:val="00BB07D7"/>
    <w:rsid w:val="00BB07E0"/>
    <w:rsid w:val="00BB0B64"/>
    <w:rsid w:val="00BB0DCF"/>
    <w:rsid w:val="00BB0F9F"/>
    <w:rsid w:val="00BB16C6"/>
    <w:rsid w:val="00BB1851"/>
    <w:rsid w:val="00BB383A"/>
    <w:rsid w:val="00BB4E1A"/>
    <w:rsid w:val="00BB5F01"/>
    <w:rsid w:val="00BB60A5"/>
    <w:rsid w:val="00BB793E"/>
    <w:rsid w:val="00BC0336"/>
    <w:rsid w:val="00BC0433"/>
    <w:rsid w:val="00BC1FCA"/>
    <w:rsid w:val="00BC2423"/>
    <w:rsid w:val="00BC2E90"/>
    <w:rsid w:val="00BC307C"/>
    <w:rsid w:val="00BC338E"/>
    <w:rsid w:val="00BC33D8"/>
    <w:rsid w:val="00BC3557"/>
    <w:rsid w:val="00BC432F"/>
    <w:rsid w:val="00BC4CC8"/>
    <w:rsid w:val="00BC4D3E"/>
    <w:rsid w:val="00BC660B"/>
    <w:rsid w:val="00BC71E8"/>
    <w:rsid w:val="00BC73B6"/>
    <w:rsid w:val="00BC759D"/>
    <w:rsid w:val="00BC7745"/>
    <w:rsid w:val="00BC7AB6"/>
    <w:rsid w:val="00BC7EC5"/>
    <w:rsid w:val="00BD0408"/>
    <w:rsid w:val="00BD0977"/>
    <w:rsid w:val="00BD0D3E"/>
    <w:rsid w:val="00BD0FD5"/>
    <w:rsid w:val="00BD1202"/>
    <w:rsid w:val="00BD17DF"/>
    <w:rsid w:val="00BD2319"/>
    <w:rsid w:val="00BD2355"/>
    <w:rsid w:val="00BD2487"/>
    <w:rsid w:val="00BD27F8"/>
    <w:rsid w:val="00BD3048"/>
    <w:rsid w:val="00BD30B2"/>
    <w:rsid w:val="00BD36AF"/>
    <w:rsid w:val="00BD3F2E"/>
    <w:rsid w:val="00BD4719"/>
    <w:rsid w:val="00BD4CEC"/>
    <w:rsid w:val="00BD5050"/>
    <w:rsid w:val="00BD50D0"/>
    <w:rsid w:val="00BD6745"/>
    <w:rsid w:val="00BD67DE"/>
    <w:rsid w:val="00BD684B"/>
    <w:rsid w:val="00BD6AC0"/>
    <w:rsid w:val="00BD7112"/>
    <w:rsid w:val="00BD7ADC"/>
    <w:rsid w:val="00BD7DAB"/>
    <w:rsid w:val="00BE0225"/>
    <w:rsid w:val="00BE0E22"/>
    <w:rsid w:val="00BE1761"/>
    <w:rsid w:val="00BE26B2"/>
    <w:rsid w:val="00BE32A5"/>
    <w:rsid w:val="00BE3414"/>
    <w:rsid w:val="00BE3893"/>
    <w:rsid w:val="00BE3A2F"/>
    <w:rsid w:val="00BE3F28"/>
    <w:rsid w:val="00BE3F2B"/>
    <w:rsid w:val="00BE4C36"/>
    <w:rsid w:val="00BE5078"/>
    <w:rsid w:val="00BE5310"/>
    <w:rsid w:val="00BE533A"/>
    <w:rsid w:val="00BE5A42"/>
    <w:rsid w:val="00BE6B62"/>
    <w:rsid w:val="00BE73DF"/>
    <w:rsid w:val="00BE75C3"/>
    <w:rsid w:val="00BE774D"/>
    <w:rsid w:val="00BF05A8"/>
    <w:rsid w:val="00BF12A8"/>
    <w:rsid w:val="00BF1551"/>
    <w:rsid w:val="00BF186E"/>
    <w:rsid w:val="00BF270D"/>
    <w:rsid w:val="00BF2A6C"/>
    <w:rsid w:val="00BF36B3"/>
    <w:rsid w:val="00BF3A91"/>
    <w:rsid w:val="00BF469C"/>
    <w:rsid w:val="00BF55B6"/>
    <w:rsid w:val="00BF5C23"/>
    <w:rsid w:val="00BF670A"/>
    <w:rsid w:val="00BF6782"/>
    <w:rsid w:val="00BF7794"/>
    <w:rsid w:val="00BF7A2F"/>
    <w:rsid w:val="00C00927"/>
    <w:rsid w:val="00C00CFE"/>
    <w:rsid w:val="00C02CEF"/>
    <w:rsid w:val="00C02E02"/>
    <w:rsid w:val="00C03625"/>
    <w:rsid w:val="00C0383E"/>
    <w:rsid w:val="00C045B2"/>
    <w:rsid w:val="00C049FB"/>
    <w:rsid w:val="00C04A14"/>
    <w:rsid w:val="00C07B82"/>
    <w:rsid w:val="00C10293"/>
    <w:rsid w:val="00C10469"/>
    <w:rsid w:val="00C11059"/>
    <w:rsid w:val="00C1172E"/>
    <w:rsid w:val="00C12AB9"/>
    <w:rsid w:val="00C13A66"/>
    <w:rsid w:val="00C13AFF"/>
    <w:rsid w:val="00C14970"/>
    <w:rsid w:val="00C15A30"/>
    <w:rsid w:val="00C15EAF"/>
    <w:rsid w:val="00C15F87"/>
    <w:rsid w:val="00C16995"/>
    <w:rsid w:val="00C174AA"/>
    <w:rsid w:val="00C20D17"/>
    <w:rsid w:val="00C20D68"/>
    <w:rsid w:val="00C2160C"/>
    <w:rsid w:val="00C21A63"/>
    <w:rsid w:val="00C222DE"/>
    <w:rsid w:val="00C22774"/>
    <w:rsid w:val="00C22D98"/>
    <w:rsid w:val="00C23477"/>
    <w:rsid w:val="00C235D7"/>
    <w:rsid w:val="00C24A58"/>
    <w:rsid w:val="00C24DC9"/>
    <w:rsid w:val="00C252AC"/>
    <w:rsid w:val="00C2588C"/>
    <w:rsid w:val="00C25CCC"/>
    <w:rsid w:val="00C2652A"/>
    <w:rsid w:val="00C265DE"/>
    <w:rsid w:val="00C268DD"/>
    <w:rsid w:val="00C269F1"/>
    <w:rsid w:val="00C26E1B"/>
    <w:rsid w:val="00C26E40"/>
    <w:rsid w:val="00C27708"/>
    <w:rsid w:val="00C27C15"/>
    <w:rsid w:val="00C27E98"/>
    <w:rsid w:val="00C27FC5"/>
    <w:rsid w:val="00C30159"/>
    <w:rsid w:val="00C30958"/>
    <w:rsid w:val="00C30D3B"/>
    <w:rsid w:val="00C31A2B"/>
    <w:rsid w:val="00C31A5D"/>
    <w:rsid w:val="00C320D6"/>
    <w:rsid w:val="00C32134"/>
    <w:rsid w:val="00C325CC"/>
    <w:rsid w:val="00C33493"/>
    <w:rsid w:val="00C33661"/>
    <w:rsid w:val="00C33DF4"/>
    <w:rsid w:val="00C34550"/>
    <w:rsid w:val="00C35270"/>
    <w:rsid w:val="00C356F9"/>
    <w:rsid w:val="00C359C9"/>
    <w:rsid w:val="00C36726"/>
    <w:rsid w:val="00C3740F"/>
    <w:rsid w:val="00C40581"/>
    <w:rsid w:val="00C40A92"/>
    <w:rsid w:val="00C41089"/>
    <w:rsid w:val="00C41B42"/>
    <w:rsid w:val="00C4313A"/>
    <w:rsid w:val="00C43985"/>
    <w:rsid w:val="00C43BFF"/>
    <w:rsid w:val="00C44288"/>
    <w:rsid w:val="00C4440A"/>
    <w:rsid w:val="00C44F88"/>
    <w:rsid w:val="00C45B48"/>
    <w:rsid w:val="00C45FA1"/>
    <w:rsid w:val="00C464DA"/>
    <w:rsid w:val="00C465BC"/>
    <w:rsid w:val="00C46FF1"/>
    <w:rsid w:val="00C47A07"/>
    <w:rsid w:val="00C50B1C"/>
    <w:rsid w:val="00C50BD9"/>
    <w:rsid w:val="00C510AB"/>
    <w:rsid w:val="00C51990"/>
    <w:rsid w:val="00C52085"/>
    <w:rsid w:val="00C5216E"/>
    <w:rsid w:val="00C523BD"/>
    <w:rsid w:val="00C526A6"/>
    <w:rsid w:val="00C5279E"/>
    <w:rsid w:val="00C534E1"/>
    <w:rsid w:val="00C53812"/>
    <w:rsid w:val="00C54017"/>
    <w:rsid w:val="00C5474A"/>
    <w:rsid w:val="00C54E12"/>
    <w:rsid w:val="00C54FAD"/>
    <w:rsid w:val="00C550FD"/>
    <w:rsid w:val="00C559EC"/>
    <w:rsid w:val="00C5672F"/>
    <w:rsid w:val="00C569D7"/>
    <w:rsid w:val="00C56CEA"/>
    <w:rsid w:val="00C5723E"/>
    <w:rsid w:val="00C57BD2"/>
    <w:rsid w:val="00C60299"/>
    <w:rsid w:val="00C60722"/>
    <w:rsid w:val="00C6096C"/>
    <w:rsid w:val="00C61A51"/>
    <w:rsid w:val="00C61D81"/>
    <w:rsid w:val="00C6239E"/>
    <w:rsid w:val="00C6367C"/>
    <w:rsid w:val="00C63886"/>
    <w:rsid w:val="00C64286"/>
    <w:rsid w:val="00C644BF"/>
    <w:rsid w:val="00C64A91"/>
    <w:rsid w:val="00C65468"/>
    <w:rsid w:val="00C6598C"/>
    <w:rsid w:val="00C6603F"/>
    <w:rsid w:val="00C6624D"/>
    <w:rsid w:val="00C66BFE"/>
    <w:rsid w:val="00C66C47"/>
    <w:rsid w:val="00C678EB"/>
    <w:rsid w:val="00C70295"/>
    <w:rsid w:val="00C702F9"/>
    <w:rsid w:val="00C706E5"/>
    <w:rsid w:val="00C71231"/>
    <w:rsid w:val="00C718CD"/>
    <w:rsid w:val="00C73150"/>
    <w:rsid w:val="00C744C9"/>
    <w:rsid w:val="00C75102"/>
    <w:rsid w:val="00C75EC4"/>
    <w:rsid w:val="00C760F3"/>
    <w:rsid w:val="00C761A9"/>
    <w:rsid w:val="00C76A43"/>
    <w:rsid w:val="00C808C1"/>
    <w:rsid w:val="00C817D6"/>
    <w:rsid w:val="00C81A82"/>
    <w:rsid w:val="00C8230F"/>
    <w:rsid w:val="00C82D0C"/>
    <w:rsid w:val="00C83164"/>
    <w:rsid w:val="00C83D13"/>
    <w:rsid w:val="00C84C0B"/>
    <w:rsid w:val="00C85275"/>
    <w:rsid w:val="00C85367"/>
    <w:rsid w:val="00C853CC"/>
    <w:rsid w:val="00C85A8F"/>
    <w:rsid w:val="00C86339"/>
    <w:rsid w:val="00C87919"/>
    <w:rsid w:val="00C87C75"/>
    <w:rsid w:val="00C90441"/>
    <w:rsid w:val="00C90A20"/>
    <w:rsid w:val="00C90B7F"/>
    <w:rsid w:val="00C90F39"/>
    <w:rsid w:val="00C91686"/>
    <w:rsid w:val="00C91DE7"/>
    <w:rsid w:val="00C92095"/>
    <w:rsid w:val="00C92515"/>
    <w:rsid w:val="00C92FCC"/>
    <w:rsid w:val="00C94E2D"/>
    <w:rsid w:val="00C95AC9"/>
    <w:rsid w:val="00C95BCB"/>
    <w:rsid w:val="00C95BFF"/>
    <w:rsid w:val="00C971AD"/>
    <w:rsid w:val="00C9732C"/>
    <w:rsid w:val="00C97388"/>
    <w:rsid w:val="00C974D4"/>
    <w:rsid w:val="00CA0901"/>
    <w:rsid w:val="00CA1A31"/>
    <w:rsid w:val="00CA225A"/>
    <w:rsid w:val="00CA6ACC"/>
    <w:rsid w:val="00CA73D7"/>
    <w:rsid w:val="00CA7ACB"/>
    <w:rsid w:val="00CB0E1E"/>
    <w:rsid w:val="00CB20B0"/>
    <w:rsid w:val="00CB2555"/>
    <w:rsid w:val="00CB2C68"/>
    <w:rsid w:val="00CB3727"/>
    <w:rsid w:val="00CB3BD4"/>
    <w:rsid w:val="00CB49DD"/>
    <w:rsid w:val="00CB5AF4"/>
    <w:rsid w:val="00CB5C32"/>
    <w:rsid w:val="00CB5CD3"/>
    <w:rsid w:val="00CB5E57"/>
    <w:rsid w:val="00CB6568"/>
    <w:rsid w:val="00CB68D9"/>
    <w:rsid w:val="00CB7A6F"/>
    <w:rsid w:val="00CB7AA3"/>
    <w:rsid w:val="00CC0AB4"/>
    <w:rsid w:val="00CC0DB4"/>
    <w:rsid w:val="00CC2FB5"/>
    <w:rsid w:val="00CC3450"/>
    <w:rsid w:val="00CC4CA6"/>
    <w:rsid w:val="00CC5691"/>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9E6"/>
    <w:rsid w:val="00CE0F85"/>
    <w:rsid w:val="00CE119C"/>
    <w:rsid w:val="00CE26B3"/>
    <w:rsid w:val="00CE3EAA"/>
    <w:rsid w:val="00CE4B95"/>
    <w:rsid w:val="00CE547E"/>
    <w:rsid w:val="00CE577D"/>
    <w:rsid w:val="00CE58E8"/>
    <w:rsid w:val="00CE5B08"/>
    <w:rsid w:val="00CE670D"/>
    <w:rsid w:val="00CE71A8"/>
    <w:rsid w:val="00CE72C7"/>
    <w:rsid w:val="00CF02D1"/>
    <w:rsid w:val="00CF062A"/>
    <w:rsid w:val="00CF11B3"/>
    <w:rsid w:val="00CF2295"/>
    <w:rsid w:val="00CF2721"/>
    <w:rsid w:val="00CF2C69"/>
    <w:rsid w:val="00CF3AB6"/>
    <w:rsid w:val="00CF456C"/>
    <w:rsid w:val="00CF55FA"/>
    <w:rsid w:val="00CF5DEB"/>
    <w:rsid w:val="00CF68DE"/>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DCA"/>
    <w:rsid w:val="00D07F4C"/>
    <w:rsid w:val="00D1010A"/>
    <w:rsid w:val="00D11146"/>
    <w:rsid w:val="00D126A3"/>
    <w:rsid w:val="00D12939"/>
    <w:rsid w:val="00D1391B"/>
    <w:rsid w:val="00D139E9"/>
    <w:rsid w:val="00D14AB1"/>
    <w:rsid w:val="00D1563D"/>
    <w:rsid w:val="00D15B52"/>
    <w:rsid w:val="00D1624F"/>
    <w:rsid w:val="00D162C6"/>
    <w:rsid w:val="00D16975"/>
    <w:rsid w:val="00D16E7A"/>
    <w:rsid w:val="00D17415"/>
    <w:rsid w:val="00D175C4"/>
    <w:rsid w:val="00D203E1"/>
    <w:rsid w:val="00D20A66"/>
    <w:rsid w:val="00D21777"/>
    <w:rsid w:val="00D21D64"/>
    <w:rsid w:val="00D225B0"/>
    <w:rsid w:val="00D22854"/>
    <w:rsid w:val="00D23836"/>
    <w:rsid w:val="00D241E2"/>
    <w:rsid w:val="00D2445C"/>
    <w:rsid w:val="00D24941"/>
    <w:rsid w:val="00D25531"/>
    <w:rsid w:val="00D257A4"/>
    <w:rsid w:val="00D25F6D"/>
    <w:rsid w:val="00D2625C"/>
    <w:rsid w:val="00D26A8F"/>
    <w:rsid w:val="00D30329"/>
    <w:rsid w:val="00D304E2"/>
    <w:rsid w:val="00D3059A"/>
    <w:rsid w:val="00D30930"/>
    <w:rsid w:val="00D30B78"/>
    <w:rsid w:val="00D325D0"/>
    <w:rsid w:val="00D33951"/>
    <w:rsid w:val="00D34004"/>
    <w:rsid w:val="00D34302"/>
    <w:rsid w:val="00D3433F"/>
    <w:rsid w:val="00D34C6A"/>
    <w:rsid w:val="00D34DF9"/>
    <w:rsid w:val="00D3512D"/>
    <w:rsid w:val="00D353C6"/>
    <w:rsid w:val="00D35DA8"/>
    <w:rsid w:val="00D36B44"/>
    <w:rsid w:val="00D379DD"/>
    <w:rsid w:val="00D37DB1"/>
    <w:rsid w:val="00D405FC"/>
    <w:rsid w:val="00D4139A"/>
    <w:rsid w:val="00D41BA2"/>
    <w:rsid w:val="00D42384"/>
    <w:rsid w:val="00D42875"/>
    <w:rsid w:val="00D42AAE"/>
    <w:rsid w:val="00D43896"/>
    <w:rsid w:val="00D44FB8"/>
    <w:rsid w:val="00D45C5F"/>
    <w:rsid w:val="00D46B30"/>
    <w:rsid w:val="00D47306"/>
    <w:rsid w:val="00D476FE"/>
    <w:rsid w:val="00D50EF0"/>
    <w:rsid w:val="00D50EF2"/>
    <w:rsid w:val="00D50FC1"/>
    <w:rsid w:val="00D511EF"/>
    <w:rsid w:val="00D513E3"/>
    <w:rsid w:val="00D51D9F"/>
    <w:rsid w:val="00D538B5"/>
    <w:rsid w:val="00D540E6"/>
    <w:rsid w:val="00D5452F"/>
    <w:rsid w:val="00D54B4A"/>
    <w:rsid w:val="00D55046"/>
    <w:rsid w:val="00D557BC"/>
    <w:rsid w:val="00D55C02"/>
    <w:rsid w:val="00D563B4"/>
    <w:rsid w:val="00D56BB9"/>
    <w:rsid w:val="00D5785E"/>
    <w:rsid w:val="00D57ED4"/>
    <w:rsid w:val="00D6037C"/>
    <w:rsid w:val="00D614D3"/>
    <w:rsid w:val="00D61C25"/>
    <w:rsid w:val="00D62A37"/>
    <w:rsid w:val="00D62CC9"/>
    <w:rsid w:val="00D62D11"/>
    <w:rsid w:val="00D6336F"/>
    <w:rsid w:val="00D63D7A"/>
    <w:rsid w:val="00D64DEC"/>
    <w:rsid w:val="00D65B96"/>
    <w:rsid w:val="00D6645A"/>
    <w:rsid w:val="00D66677"/>
    <w:rsid w:val="00D6718E"/>
    <w:rsid w:val="00D707B3"/>
    <w:rsid w:val="00D718F5"/>
    <w:rsid w:val="00D71F7F"/>
    <w:rsid w:val="00D72919"/>
    <w:rsid w:val="00D729A6"/>
    <w:rsid w:val="00D744AC"/>
    <w:rsid w:val="00D75179"/>
    <w:rsid w:val="00D757EC"/>
    <w:rsid w:val="00D758FA"/>
    <w:rsid w:val="00D76765"/>
    <w:rsid w:val="00D7724D"/>
    <w:rsid w:val="00D77446"/>
    <w:rsid w:val="00D7796E"/>
    <w:rsid w:val="00D77EAE"/>
    <w:rsid w:val="00D80DD9"/>
    <w:rsid w:val="00D8144D"/>
    <w:rsid w:val="00D82264"/>
    <w:rsid w:val="00D8240D"/>
    <w:rsid w:val="00D828A0"/>
    <w:rsid w:val="00D82F01"/>
    <w:rsid w:val="00D82FAF"/>
    <w:rsid w:val="00D83353"/>
    <w:rsid w:val="00D8437D"/>
    <w:rsid w:val="00D84781"/>
    <w:rsid w:val="00D84790"/>
    <w:rsid w:val="00D8565C"/>
    <w:rsid w:val="00D87040"/>
    <w:rsid w:val="00D8764F"/>
    <w:rsid w:val="00D91289"/>
    <w:rsid w:val="00D9230D"/>
    <w:rsid w:val="00D9300D"/>
    <w:rsid w:val="00D936AC"/>
    <w:rsid w:val="00D93F71"/>
    <w:rsid w:val="00D93FAE"/>
    <w:rsid w:val="00D943DC"/>
    <w:rsid w:val="00D94910"/>
    <w:rsid w:val="00D94FF1"/>
    <w:rsid w:val="00D9517B"/>
    <w:rsid w:val="00D952E7"/>
    <w:rsid w:val="00D956D2"/>
    <w:rsid w:val="00D95AF5"/>
    <w:rsid w:val="00D96EF3"/>
    <w:rsid w:val="00D97820"/>
    <w:rsid w:val="00DA02A0"/>
    <w:rsid w:val="00DA0EE7"/>
    <w:rsid w:val="00DA1178"/>
    <w:rsid w:val="00DA133A"/>
    <w:rsid w:val="00DA1853"/>
    <w:rsid w:val="00DA1A9D"/>
    <w:rsid w:val="00DA2B04"/>
    <w:rsid w:val="00DA2B4C"/>
    <w:rsid w:val="00DA33DB"/>
    <w:rsid w:val="00DA3756"/>
    <w:rsid w:val="00DA39C5"/>
    <w:rsid w:val="00DA4BC9"/>
    <w:rsid w:val="00DA54C8"/>
    <w:rsid w:val="00DA5F07"/>
    <w:rsid w:val="00DA672A"/>
    <w:rsid w:val="00DA708A"/>
    <w:rsid w:val="00DA7117"/>
    <w:rsid w:val="00DB1167"/>
    <w:rsid w:val="00DB1360"/>
    <w:rsid w:val="00DB21EC"/>
    <w:rsid w:val="00DB26FB"/>
    <w:rsid w:val="00DB2CEA"/>
    <w:rsid w:val="00DB3A64"/>
    <w:rsid w:val="00DB436B"/>
    <w:rsid w:val="00DB51B3"/>
    <w:rsid w:val="00DB5E0F"/>
    <w:rsid w:val="00DB6A15"/>
    <w:rsid w:val="00DB7EB6"/>
    <w:rsid w:val="00DC0FBB"/>
    <w:rsid w:val="00DC12BC"/>
    <w:rsid w:val="00DC12E1"/>
    <w:rsid w:val="00DC15CF"/>
    <w:rsid w:val="00DC15ED"/>
    <w:rsid w:val="00DC2299"/>
    <w:rsid w:val="00DC23FC"/>
    <w:rsid w:val="00DC25D6"/>
    <w:rsid w:val="00DC27B0"/>
    <w:rsid w:val="00DC2E6E"/>
    <w:rsid w:val="00DC2EB9"/>
    <w:rsid w:val="00DC2FD8"/>
    <w:rsid w:val="00DC31F1"/>
    <w:rsid w:val="00DC3419"/>
    <w:rsid w:val="00DC34CB"/>
    <w:rsid w:val="00DC3704"/>
    <w:rsid w:val="00DC3CB4"/>
    <w:rsid w:val="00DC4350"/>
    <w:rsid w:val="00DC4862"/>
    <w:rsid w:val="00DC513A"/>
    <w:rsid w:val="00DC6175"/>
    <w:rsid w:val="00DC637B"/>
    <w:rsid w:val="00DC6EA0"/>
    <w:rsid w:val="00DC770C"/>
    <w:rsid w:val="00DD0F99"/>
    <w:rsid w:val="00DD1090"/>
    <w:rsid w:val="00DD132F"/>
    <w:rsid w:val="00DD2ADA"/>
    <w:rsid w:val="00DD30B2"/>
    <w:rsid w:val="00DD3438"/>
    <w:rsid w:val="00DD3D7F"/>
    <w:rsid w:val="00DD5C2C"/>
    <w:rsid w:val="00DD6DE7"/>
    <w:rsid w:val="00DD6E0E"/>
    <w:rsid w:val="00DD73D5"/>
    <w:rsid w:val="00DD78C8"/>
    <w:rsid w:val="00DE0043"/>
    <w:rsid w:val="00DE0343"/>
    <w:rsid w:val="00DE0A4B"/>
    <w:rsid w:val="00DE15D2"/>
    <w:rsid w:val="00DE17EB"/>
    <w:rsid w:val="00DE1E6A"/>
    <w:rsid w:val="00DE279D"/>
    <w:rsid w:val="00DE2DDF"/>
    <w:rsid w:val="00DE3995"/>
    <w:rsid w:val="00DE6192"/>
    <w:rsid w:val="00DE68D8"/>
    <w:rsid w:val="00DE6EE2"/>
    <w:rsid w:val="00DE7474"/>
    <w:rsid w:val="00DE7E8F"/>
    <w:rsid w:val="00DF0BC0"/>
    <w:rsid w:val="00DF0EB0"/>
    <w:rsid w:val="00DF2577"/>
    <w:rsid w:val="00DF2815"/>
    <w:rsid w:val="00DF2939"/>
    <w:rsid w:val="00DF2A02"/>
    <w:rsid w:val="00DF2E7F"/>
    <w:rsid w:val="00DF2EAF"/>
    <w:rsid w:val="00DF30EE"/>
    <w:rsid w:val="00DF3FAB"/>
    <w:rsid w:val="00DF56AC"/>
    <w:rsid w:val="00DF6AE7"/>
    <w:rsid w:val="00DF6FFD"/>
    <w:rsid w:val="00DF7F37"/>
    <w:rsid w:val="00E00F2C"/>
    <w:rsid w:val="00E02403"/>
    <w:rsid w:val="00E027E8"/>
    <w:rsid w:val="00E04F3B"/>
    <w:rsid w:val="00E05220"/>
    <w:rsid w:val="00E0525E"/>
    <w:rsid w:val="00E05E3E"/>
    <w:rsid w:val="00E05F83"/>
    <w:rsid w:val="00E06511"/>
    <w:rsid w:val="00E06871"/>
    <w:rsid w:val="00E06B09"/>
    <w:rsid w:val="00E07201"/>
    <w:rsid w:val="00E075CE"/>
    <w:rsid w:val="00E0776D"/>
    <w:rsid w:val="00E1041B"/>
    <w:rsid w:val="00E10CD6"/>
    <w:rsid w:val="00E10DC3"/>
    <w:rsid w:val="00E11711"/>
    <w:rsid w:val="00E1175A"/>
    <w:rsid w:val="00E1203B"/>
    <w:rsid w:val="00E129D4"/>
    <w:rsid w:val="00E12A5F"/>
    <w:rsid w:val="00E131AB"/>
    <w:rsid w:val="00E13512"/>
    <w:rsid w:val="00E146CB"/>
    <w:rsid w:val="00E154C3"/>
    <w:rsid w:val="00E16035"/>
    <w:rsid w:val="00E168E8"/>
    <w:rsid w:val="00E17C28"/>
    <w:rsid w:val="00E20002"/>
    <w:rsid w:val="00E2010C"/>
    <w:rsid w:val="00E2042C"/>
    <w:rsid w:val="00E20806"/>
    <w:rsid w:val="00E2195C"/>
    <w:rsid w:val="00E21BD0"/>
    <w:rsid w:val="00E21E4A"/>
    <w:rsid w:val="00E2256F"/>
    <w:rsid w:val="00E22C11"/>
    <w:rsid w:val="00E23CF9"/>
    <w:rsid w:val="00E23DC3"/>
    <w:rsid w:val="00E2532F"/>
    <w:rsid w:val="00E25A51"/>
    <w:rsid w:val="00E26273"/>
    <w:rsid w:val="00E263B1"/>
    <w:rsid w:val="00E26609"/>
    <w:rsid w:val="00E300F1"/>
    <w:rsid w:val="00E3038F"/>
    <w:rsid w:val="00E30B7A"/>
    <w:rsid w:val="00E31DD1"/>
    <w:rsid w:val="00E32D9C"/>
    <w:rsid w:val="00E33122"/>
    <w:rsid w:val="00E33744"/>
    <w:rsid w:val="00E33CA9"/>
    <w:rsid w:val="00E355FA"/>
    <w:rsid w:val="00E35A73"/>
    <w:rsid w:val="00E36ACB"/>
    <w:rsid w:val="00E3714A"/>
    <w:rsid w:val="00E37174"/>
    <w:rsid w:val="00E3785F"/>
    <w:rsid w:val="00E37C1C"/>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6480"/>
    <w:rsid w:val="00E466E5"/>
    <w:rsid w:val="00E467E8"/>
    <w:rsid w:val="00E47A88"/>
    <w:rsid w:val="00E47D74"/>
    <w:rsid w:val="00E50207"/>
    <w:rsid w:val="00E5035B"/>
    <w:rsid w:val="00E50967"/>
    <w:rsid w:val="00E50DB3"/>
    <w:rsid w:val="00E52C1A"/>
    <w:rsid w:val="00E538CF"/>
    <w:rsid w:val="00E53DB8"/>
    <w:rsid w:val="00E54306"/>
    <w:rsid w:val="00E558D4"/>
    <w:rsid w:val="00E558E4"/>
    <w:rsid w:val="00E569DA"/>
    <w:rsid w:val="00E56B15"/>
    <w:rsid w:val="00E56B56"/>
    <w:rsid w:val="00E5730C"/>
    <w:rsid w:val="00E600E6"/>
    <w:rsid w:val="00E605BC"/>
    <w:rsid w:val="00E60808"/>
    <w:rsid w:val="00E6094F"/>
    <w:rsid w:val="00E61434"/>
    <w:rsid w:val="00E618D5"/>
    <w:rsid w:val="00E61A10"/>
    <w:rsid w:val="00E62318"/>
    <w:rsid w:val="00E6298B"/>
    <w:rsid w:val="00E62D7E"/>
    <w:rsid w:val="00E635AF"/>
    <w:rsid w:val="00E64086"/>
    <w:rsid w:val="00E640D2"/>
    <w:rsid w:val="00E6449F"/>
    <w:rsid w:val="00E64C44"/>
    <w:rsid w:val="00E66BE3"/>
    <w:rsid w:val="00E6700B"/>
    <w:rsid w:val="00E679F1"/>
    <w:rsid w:val="00E67F80"/>
    <w:rsid w:val="00E71798"/>
    <w:rsid w:val="00E7186A"/>
    <w:rsid w:val="00E71BC7"/>
    <w:rsid w:val="00E71FFF"/>
    <w:rsid w:val="00E73ECC"/>
    <w:rsid w:val="00E7471F"/>
    <w:rsid w:val="00E749D4"/>
    <w:rsid w:val="00E74DC4"/>
    <w:rsid w:val="00E74E91"/>
    <w:rsid w:val="00E74FB2"/>
    <w:rsid w:val="00E758A1"/>
    <w:rsid w:val="00E765CD"/>
    <w:rsid w:val="00E76C33"/>
    <w:rsid w:val="00E76D8A"/>
    <w:rsid w:val="00E7721C"/>
    <w:rsid w:val="00E77426"/>
    <w:rsid w:val="00E77B0B"/>
    <w:rsid w:val="00E800DE"/>
    <w:rsid w:val="00E802A1"/>
    <w:rsid w:val="00E80699"/>
    <w:rsid w:val="00E80725"/>
    <w:rsid w:val="00E81FD3"/>
    <w:rsid w:val="00E82446"/>
    <w:rsid w:val="00E82708"/>
    <w:rsid w:val="00E82977"/>
    <w:rsid w:val="00E82C39"/>
    <w:rsid w:val="00E83335"/>
    <w:rsid w:val="00E83634"/>
    <w:rsid w:val="00E83882"/>
    <w:rsid w:val="00E838BE"/>
    <w:rsid w:val="00E84324"/>
    <w:rsid w:val="00E85820"/>
    <w:rsid w:val="00E858E0"/>
    <w:rsid w:val="00E85B74"/>
    <w:rsid w:val="00E8692F"/>
    <w:rsid w:val="00E86BBB"/>
    <w:rsid w:val="00E912AE"/>
    <w:rsid w:val="00E914EB"/>
    <w:rsid w:val="00E91DC0"/>
    <w:rsid w:val="00E926BB"/>
    <w:rsid w:val="00E9315C"/>
    <w:rsid w:val="00E93B9A"/>
    <w:rsid w:val="00E93DFD"/>
    <w:rsid w:val="00E94BC6"/>
    <w:rsid w:val="00E953D1"/>
    <w:rsid w:val="00E9541D"/>
    <w:rsid w:val="00E97680"/>
    <w:rsid w:val="00E97CA3"/>
    <w:rsid w:val="00EA05C9"/>
    <w:rsid w:val="00EA0787"/>
    <w:rsid w:val="00EA0841"/>
    <w:rsid w:val="00EA10DD"/>
    <w:rsid w:val="00EA1361"/>
    <w:rsid w:val="00EA24C3"/>
    <w:rsid w:val="00EA3B7C"/>
    <w:rsid w:val="00EA3E2C"/>
    <w:rsid w:val="00EA4155"/>
    <w:rsid w:val="00EA429E"/>
    <w:rsid w:val="00EA484E"/>
    <w:rsid w:val="00EA4C24"/>
    <w:rsid w:val="00EA50E2"/>
    <w:rsid w:val="00EA5BB5"/>
    <w:rsid w:val="00EA6AE2"/>
    <w:rsid w:val="00EB034D"/>
    <w:rsid w:val="00EB040E"/>
    <w:rsid w:val="00EB1389"/>
    <w:rsid w:val="00EB16CF"/>
    <w:rsid w:val="00EB21C9"/>
    <w:rsid w:val="00EB2EE9"/>
    <w:rsid w:val="00EB3216"/>
    <w:rsid w:val="00EB3A2B"/>
    <w:rsid w:val="00EB493D"/>
    <w:rsid w:val="00EB5BE2"/>
    <w:rsid w:val="00EB63CA"/>
    <w:rsid w:val="00EB6539"/>
    <w:rsid w:val="00EB6697"/>
    <w:rsid w:val="00EB7E3F"/>
    <w:rsid w:val="00EC0339"/>
    <w:rsid w:val="00EC03A5"/>
    <w:rsid w:val="00EC05B7"/>
    <w:rsid w:val="00EC06E2"/>
    <w:rsid w:val="00EC0703"/>
    <w:rsid w:val="00EC2B72"/>
    <w:rsid w:val="00EC401B"/>
    <w:rsid w:val="00EC4CC2"/>
    <w:rsid w:val="00EC4E64"/>
    <w:rsid w:val="00EC5819"/>
    <w:rsid w:val="00EC5B15"/>
    <w:rsid w:val="00EC5F03"/>
    <w:rsid w:val="00ED14DB"/>
    <w:rsid w:val="00ED17DB"/>
    <w:rsid w:val="00ED24DE"/>
    <w:rsid w:val="00ED316F"/>
    <w:rsid w:val="00ED402E"/>
    <w:rsid w:val="00ED47EC"/>
    <w:rsid w:val="00ED48D3"/>
    <w:rsid w:val="00ED6992"/>
    <w:rsid w:val="00ED709C"/>
    <w:rsid w:val="00ED7456"/>
    <w:rsid w:val="00ED74BA"/>
    <w:rsid w:val="00ED7B5B"/>
    <w:rsid w:val="00ED7F42"/>
    <w:rsid w:val="00EE0C19"/>
    <w:rsid w:val="00EE1262"/>
    <w:rsid w:val="00EE1385"/>
    <w:rsid w:val="00EE265E"/>
    <w:rsid w:val="00EE280D"/>
    <w:rsid w:val="00EE2EC9"/>
    <w:rsid w:val="00EE385A"/>
    <w:rsid w:val="00EE3E16"/>
    <w:rsid w:val="00EE417D"/>
    <w:rsid w:val="00EE489D"/>
    <w:rsid w:val="00EE5241"/>
    <w:rsid w:val="00EE53A4"/>
    <w:rsid w:val="00EE55C6"/>
    <w:rsid w:val="00EE5687"/>
    <w:rsid w:val="00EE5E14"/>
    <w:rsid w:val="00EE6330"/>
    <w:rsid w:val="00EE6829"/>
    <w:rsid w:val="00EE6872"/>
    <w:rsid w:val="00EE6E27"/>
    <w:rsid w:val="00EE6E7C"/>
    <w:rsid w:val="00EE782D"/>
    <w:rsid w:val="00EE7BA6"/>
    <w:rsid w:val="00EF0408"/>
    <w:rsid w:val="00EF05E9"/>
    <w:rsid w:val="00EF0A5F"/>
    <w:rsid w:val="00EF0C71"/>
    <w:rsid w:val="00EF166A"/>
    <w:rsid w:val="00EF28EE"/>
    <w:rsid w:val="00EF2FDC"/>
    <w:rsid w:val="00EF4A8B"/>
    <w:rsid w:val="00EF64BE"/>
    <w:rsid w:val="00EF6CF6"/>
    <w:rsid w:val="00EF6DC3"/>
    <w:rsid w:val="00F00978"/>
    <w:rsid w:val="00F01E45"/>
    <w:rsid w:val="00F02206"/>
    <w:rsid w:val="00F02A69"/>
    <w:rsid w:val="00F02B02"/>
    <w:rsid w:val="00F03DC7"/>
    <w:rsid w:val="00F04192"/>
    <w:rsid w:val="00F04383"/>
    <w:rsid w:val="00F047AA"/>
    <w:rsid w:val="00F0509D"/>
    <w:rsid w:val="00F0538C"/>
    <w:rsid w:val="00F05E94"/>
    <w:rsid w:val="00F072BC"/>
    <w:rsid w:val="00F07317"/>
    <w:rsid w:val="00F07D28"/>
    <w:rsid w:val="00F101DD"/>
    <w:rsid w:val="00F106B7"/>
    <w:rsid w:val="00F10F26"/>
    <w:rsid w:val="00F112A8"/>
    <w:rsid w:val="00F117F4"/>
    <w:rsid w:val="00F119C3"/>
    <w:rsid w:val="00F12077"/>
    <w:rsid w:val="00F122C0"/>
    <w:rsid w:val="00F12951"/>
    <w:rsid w:val="00F134C8"/>
    <w:rsid w:val="00F134D7"/>
    <w:rsid w:val="00F13603"/>
    <w:rsid w:val="00F13AD1"/>
    <w:rsid w:val="00F13BC9"/>
    <w:rsid w:val="00F14A72"/>
    <w:rsid w:val="00F15458"/>
    <w:rsid w:val="00F1592D"/>
    <w:rsid w:val="00F15C76"/>
    <w:rsid w:val="00F15D70"/>
    <w:rsid w:val="00F17918"/>
    <w:rsid w:val="00F17D4C"/>
    <w:rsid w:val="00F20059"/>
    <w:rsid w:val="00F20F9C"/>
    <w:rsid w:val="00F2127F"/>
    <w:rsid w:val="00F21976"/>
    <w:rsid w:val="00F22EF9"/>
    <w:rsid w:val="00F23616"/>
    <w:rsid w:val="00F23D8B"/>
    <w:rsid w:val="00F23E06"/>
    <w:rsid w:val="00F250B2"/>
    <w:rsid w:val="00F26897"/>
    <w:rsid w:val="00F26C68"/>
    <w:rsid w:val="00F2750E"/>
    <w:rsid w:val="00F27836"/>
    <w:rsid w:val="00F27B62"/>
    <w:rsid w:val="00F27FC0"/>
    <w:rsid w:val="00F304F2"/>
    <w:rsid w:val="00F305D9"/>
    <w:rsid w:val="00F317C1"/>
    <w:rsid w:val="00F31B40"/>
    <w:rsid w:val="00F3221C"/>
    <w:rsid w:val="00F32FC8"/>
    <w:rsid w:val="00F3347A"/>
    <w:rsid w:val="00F34894"/>
    <w:rsid w:val="00F36D90"/>
    <w:rsid w:val="00F4004D"/>
    <w:rsid w:val="00F407F6"/>
    <w:rsid w:val="00F40FCE"/>
    <w:rsid w:val="00F416BF"/>
    <w:rsid w:val="00F41F65"/>
    <w:rsid w:val="00F43424"/>
    <w:rsid w:val="00F43DFC"/>
    <w:rsid w:val="00F43FE9"/>
    <w:rsid w:val="00F441F1"/>
    <w:rsid w:val="00F44541"/>
    <w:rsid w:val="00F44AE4"/>
    <w:rsid w:val="00F454DA"/>
    <w:rsid w:val="00F45600"/>
    <w:rsid w:val="00F458BE"/>
    <w:rsid w:val="00F45A03"/>
    <w:rsid w:val="00F463B8"/>
    <w:rsid w:val="00F470D4"/>
    <w:rsid w:val="00F47218"/>
    <w:rsid w:val="00F4754E"/>
    <w:rsid w:val="00F510E2"/>
    <w:rsid w:val="00F51467"/>
    <w:rsid w:val="00F519BE"/>
    <w:rsid w:val="00F51F39"/>
    <w:rsid w:val="00F52330"/>
    <w:rsid w:val="00F529F2"/>
    <w:rsid w:val="00F52DDA"/>
    <w:rsid w:val="00F54427"/>
    <w:rsid w:val="00F54572"/>
    <w:rsid w:val="00F546D2"/>
    <w:rsid w:val="00F551FA"/>
    <w:rsid w:val="00F55396"/>
    <w:rsid w:val="00F553EF"/>
    <w:rsid w:val="00F555F0"/>
    <w:rsid w:val="00F55CE8"/>
    <w:rsid w:val="00F5685E"/>
    <w:rsid w:val="00F56C0A"/>
    <w:rsid w:val="00F5709F"/>
    <w:rsid w:val="00F575A4"/>
    <w:rsid w:val="00F577C1"/>
    <w:rsid w:val="00F604BA"/>
    <w:rsid w:val="00F606BE"/>
    <w:rsid w:val="00F614A1"/>
    <w:rsid w:val="00F61968"/>
    <w:rsid w:val="00F627CD"/>
    <w:rsid w:val="00F63151"/>
    <w:rsid w:val="00F645D0"/>
    <w:rsid w:val="00F64834"/>
    <w:rsid w:val="00F64A4A"/>
    <w:rsid w:val="00F64E93"/>
    <w:rsid w:val="00F65203"/>
    <w:rsid w:val="00F65592"/>
    <w:rsid w:val="00F663F8"/>
    <w:rsid w:val="00F66EB5"/>
    <w:rsid w:val="00F66FC8"/>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E2C"/>
    <w:rsid w:val="00F7555E"/>
    <w:rsid w:val="00F75859"/>
    <w:rsid w:val="00F75938"/>
    <w:rsid w:val="00F75BEE"/>
    <w:rsid w:val="00F75D8A"/>
    <w:rsid w:val="00F75FCC"/>
    <w:rsid w:val="00F76A6A"/>
    <w:rsid w:val="00F772F5"/>
    <w:rsid w:val="00F77D1F"/>
    <w:rsid w:val="00F77DC0"/>
    <w:rsid w:val="00F809CD"/>
    <w:rsid w:val="00F8233A"/>
    <w:rsid w:val="00F825E1"/>
    <w:rsid w:val="00F8276A"/>
    <w:rsid w:val="00F82848"/>
    <w:rsid w:val="00F8294C"/>
    <w:rsid w:val="00F83402"/>
    <w:rsid w:val="00F83B09"/>
    <w:rsid w:val="00F853F2"/>
    <w:rsid w:val="00F86251"/>
    <w:rsid w:val="00F86BDB"/>
    <w:rsid w:val="00F9180B"/>
    <w:rsid w:val="00F91968"/>
    <w:rsid w:val="00F92CFC"/>
    <w:rsid w:val="00F930A7"/>
    <w:rsid w:val="00F93CAD"/>
    <w:rsid w:val="00F93D56"/>
    <w:rsid w:val="00F93DAF"/>
    <w:rsid w:val="00F9470A"/>
    <w:rsid w:val="00F94CF7"/>
    <w:rsid w:val="00F95688"/>
    <w:rsid w:val="00F96518"/>
    <w:rsid w:val="00F97056"/>
    <w:rsid w:val="00F97074"/>
    <w:rsid w:val="00F970BE"/>
    <w:rsid w:val="00F97375"/>
    <w:rsid w:val="00FA0A87"/>
    <w:rsid w:val="00FA2822"/>
    <w:rsid w:val="00FA2E1B"/>
    <w:rsid w:val="00FA34F5"/>
    <w:rsid w:val="00FA3628"/>
    <w:rsid w:val="00FA3CF5"/>
    <w:rsid w:val="00FA3F2B"/>
    <w:rsid w:val="00FA3FEB"/>
    <w:rsid w:val="00FA4212"/>
    <w:rsid w:val="00FA4320"/>
    <w:rsid w:val="00FA445A"/>
    <w:rsid w:val="00FA5053"/>
    <w:rsid w:val="00FA59F5"/>
    <w:rsid w:val="00FA709B"/>
    <w:rsid w:val="00FA791F"/>
    <w:rsid w:val="00FB08AE"/>
    <w:rsid w:val="00FB0E8B"/>
    <w:rsid w:val="00FB15D0"/>
    <w:rsid w:val="00FB22A4"/>
    <w:rsid w:val="00FB396D"/>
    <w:rsid w:val="00FB3D6E"/>
    <w:rsid w:val="00FB3FE9"/>
    <w:rsid w:val="00FB4235"/>
    <w:rsid w:val="00FB4258"/>
    <w:rsid w:val="00FB4A67"/>
    <w:rsid w:val="00FB518D"/>
    <w:rsid w:val="00FB53E2"/>
    <w:rsid w:val="00FB5D63"/>
    <w:rsid w:val="00FB606D"/>
    <w:rsid w:val="00FB6128"/>
    <w:rsid w:val="00FC083B"/>
    <w:rsid w:val="00FC0FA2"/>
    <w:rsid w:val="00FC11B7"/>
    <w:rsid w:val="00FC1222"/>
    <w:rsid w:val="00FC2693"/>
    <w:rsid w:val="00FC2717"/>
    <w:rsid w:val="00FC2984"/>
    <w:rsid w:val="00FC29A4"/>
    <w:rsid w:val="00FC42D8"/>
    <w:rsid w:val="00FC5534"/>
    <w:rsid w:val="00FC5A8C"/>
    <w:rsid w:val="00FC63A1"/>
    <w:rsid w:val="00FC64DD"/>
    <w:rsid w:val="00FC6F9A"/>
    <w:rsid w:val="00FC7FD9"/>
    <w:rsid w:val="00FD03FA"/>
    <w:rsid w:val="00FD0462"/>
    <w:rsid w:val="00FD07CB"/>
    <w:rsid w:val="00FD0889"/>
    <w:rsid w:val="00FD0D93"/>
    <w:rsid w:val="00FD1441"/>
    <w:rsid w:val="00FD15C5"/>
    <w:rsid w:val="00FD1924"/>
    <w:rsid w:val="00FD2D0B"/>
    <w:rsid w:val="00FD4012"/>
    <w:rsid w:val="00FD4218"/>
    <w:rsid w:val="00FD53C6"/>
    <w:rsid w:val="00FD5775"/>
    <w:rsid w:val="00FD5BEE"/>
    <w:rsid w:val="00FD6AEE"/>
    <w:rsid w:val="00FD6C11"/>
    <w:rsid w:val="00FD6E2A"/>
    <w:rsid w:val="00FD7913"/>
    <w:rsid w:val="00FE099F"/>
    <w:rsid w:val="00FE1310"/>
    <w:rsid w:val="00FE1CCB"/>
    <w:rsid w:val="00FE2956"/>
    <w:rsid w:val="00FE2CC8"/>
    <w:rsid w:val="00FE2F96"/>
    <w:rsid w:val="00FE452F"/>
    <w:rsid w:val="00FE45DD"/>
    <w:rsid w:val="00FE462E"/>
    <w:rsid w:val="00FE4714"/>
    <w:rsid w:val="00FE50E9"/>
    <w:rsid w:val="00FE60CA"/>
    <w:rsid w:val="00FE61B8"/>
    <w:rsid w:val="00FE6A95"/>
    <w:rsid w:val="00FE71F0"/>
    <w:rsid w:val="00FE751E"/>
    <w:rsid w:val="00FE754C"/>
    <w:rsid w:val="00FE7E64"/>
    <w:rsid w:val="00FF0A58"/>
    <w:rsid w:val="00FF0F83"/>
    <w:rsid w:val="00FF138C"/>
    <w:rsid w:val="00FF1F55"/>
    <w:rsid w:val="00FF2742"/>
    <w:rsid w:val="00FF2D69"/>
    <w:rsid w:val="00FF32D9"/>
    <w:rsid w:val="00FF4047"/>
    <w:rsid w:val="00FF42E8"/>
    <w:rsid w:val="00FF4B84"/>
    <w:rsid w:val="00FF504D"/>
    <w:rsid w:val="00FF5664"/>
    <w:rsid w:val="00FF69C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A15BB4"/>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33230C"/>
    <w:rPr>
      <w:u w:val="single"/>
    </w:rPr>
  </w:style>
  <w:style w:type="table" w:customStyle="1" w:styleId="TableNormal">
    <w:name w:val="Table Normal"/>
    <w:rsid w:val="0033230C"/>
    <w:tblPr>
      <w:tblInd w:w="0" w:type="dxa"/>
      <w:tblCellMar>
        <w:top w:w="0" w:type="dxa"/>
        <w:left w:w="0" w:type="dxa"/>
        <w:bottom w:w="0" w:type="dxa"/>
        <w:right w:w="0" w:type="dxa"/>
      </w:tblCellMar>
    </w:tblPr>
  </w:style>
  <w:style w:type="paragraph" w:customStyle="1" w:styleId="Intestazioneepidipagina">
    <w:name w:val="Intestazione e piè di pagina"/>
    <w:rsid w:val="0033230C"/>
    <w:pPr>
      <w:tabs>
        <w:tab w:val="right" w:pos="9020"/>
      </w:tabs>
    </w:pPr>
    <w:rPr>
      <w:rFonts w:ascii="Helvetica Neue" w:hAnsi="Helvetica Neue" w:cs="Arial Unicode MS"/>
      <w:color w:val="000000"/>
      <w:sz w:val="24"/>
      <w:szCs w:val="24"/>
    </w:rPr>
  </w:style>
  <w:style w:type="paragraph" w:styleId="Paragrafoelenco">
    <w:name w:val="List Paragraph"/>
    <w:uiPriority w:val="34"/>
    <w:qFormat/>
    <w:rsid w:val="0033230C"/>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rsid w:val="0033230C"/>
    <w:pPr>
      <w:numPr>
        <w:numId w:val="1"/>
      </w:numPr>
    </w:pPr>
  </w:style>
  <w:style w:type="paragraph" w:customStyle="1" w:styleId="Didefault">
    <w:name w:val="Di default"/>
    <w:rsid w:val="0033230C"/>
    <w:pPr>
      <w:spacing w:before="160" w:line="288" w:lineRule="auto"/>
    </w:pPr>
    <w:rPr>
      <w:rFonts w:ascii="Helvetica Neue" w:eastAsia="Helvetica Neue" w:hAnsi="Helvetica Neue" w:cs="Helvetica Neue"/>
      <w:color w:val="000000"/>
      <w:sz w:val="24"/>
      <w:szCs w:val="24"/>
    </w:rPr>
  </w:style>
  <w:style w:type="numbering" w:customStyle="1" w:styleId="Stileimportato2">
    <w:name w:val="Stile importato 2"/>
    <w:rsid w:val="0033230C"/>
    <w:pPr>
      <w:numPr>
        <w:numId w:val="3"/>
      </w:numPr>
    </w:pPr>
  </w:style>
  <w:style w:type="character" w:customStyle="1" w:styleId="Link">
    <w:name w:val="Link"/>
    <w:rsid w:val="0033230C"/>
    <w:rPr>
      <w:color w:val="0563C1"/>
      <w:u w:val="single" w:color="0563C1"/>
    </w:rPr>
  </w:style>
  <w:style w:type="character" w:customStyle="1" w:styleId="Hyperlink0">
    <w:name w:val="Hyperlink.0"/>
    <w:basedOn w:val="Link"/>
    <w:rsid w:val="0033230C"/>
    <w:rPr>
      <w:rFonts w:ascii="Calibri" w:eastAsia="Calibri" w:hAnsi="Calibri" w:cs="Calibri"/>
      <w:i/>
      <w:iCs/>
      <w:color w:val="0563C1"/>
      <w:u w:val="single" w:color="0563C1"/>
    </w:rPr>
  </w:style>
  <w:style w:type="character" w:customStyle="1" w:styleId="Hyperlink1">
    <w:name w:val="Hyperlink.1"/>
    <w:basedOn w:val="Link"/>
    <w:rsid w:val="0033230C"/>
    <w:rPr>
      <w:rFonts w:ascii="Calibri" w:eastAsia="Calibri" w:hAnsi="Calibri" w:cs="Calibri"/>
      <w:color w:val="0563C1"/>
      <w:sz w:val="20"/>
      <w:szCs w:val="20"/>
      <w:u w:val="single" w:color="0563C1"/>
    </w:rPr>
  </w:style>
  <w:style w:type="paragraph" w:styleId="Testocommento">
    <w:name w:val="annotation text"/>
    <w:basedOn w:val="Normale"/>
    <w:link w:val="TestocommentoCarattere"/>
    <w:uiPriority w:val="99"/>
    <w:unhideWhenUsed/>
    <w:rsid w:val="0033230C"/>
    <w:pPr>
      <w:spacing w:line="240" w:lineRule="auto"/>
    </w:pPr>
    <w:rPr>
      <w:sz w:val="20"/>
      <w:szCs w:val="20"/>
    </w:rPr>
  </w:style>
  <w:style w:type="character" w:customStyle="1" w:styleId="TestocommentoCarattere">
    <w:name w:val="Testo commento Carattere"/>
    <w:basedOn w:val="Carpredefinitoparagrafo"/>
    <w:link w:val="Testocommento"/>
    <w:uiPriority w:val="99"/>
    <w:rsid w:val="0033230C"/>
    <w:rPr>
      <w:rFonts w:ascii="Calibri" w:hAnsi="Calibri" w:cs="Arial Unicode MS"/>
      <w:color w:val="000000"/>
      <w:u w:color="000000"/>
    </w:rPr>
  </w:style>
  <w:style w:type="character" w:styleId="Rimandocommento">
    <w:name w:val="annotation reference"/>
    <w:basedOn w:val="Carpredefinitoparagrafo"/>
    <w:uiPriority w:val="99"/>
    <w:semiHidden/>
    <w:unhideWhenUsed/>
    <w:rsid w:val="0033230C"/>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ufficio.stampa@gimbe.org"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ronavirus.gimbe.or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icentro.iss.it/coronavirus/bollettino/Bollettino-sorveglianza-integrata-COVID-19_2-marzo-2022.pdf"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github.com/italia/covid19-opendata-vaccini/blob/master/dati/platea-booster-immunocompromessi.csv"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github.com/italia/covid19-opendata-vaccini/blob/master/dati/platea-dose-addizionale-booster.csv"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F46BA-1AA5-4486-956C-F05665F3B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2611</Words>
  <Characters>14884</Characters>
  <Application>Microsoft Office Word</Application>
  <DocSecurity>0</DocSecurity>
  <Lines>124</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Luca Bellusci</cp:lastModifiedBy>
  <cp:revision>5</cp:revision>
  <cp:lastPrinted>2022-01-12T13:22:00Z</cp:lastPrinted>
  <dcterms:created xsi:type="dcterms:W3CDTF">2022-03-09T14:04:00Z</dcterms:created>
  <dcterms:modified xsi:type="dcterms:W3CDTF">2022-03-10T09:01:00Z</dcterms:modified>
</cp:coreProperties>
</file>