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9D7" w:rsidRPr="009619D7" w:rsidRDefault="000E781A" w:rsidP="009619D7">
      <w:pPr>
        <w:spacing w:line="276" w:lineRule="auto"/>
        <w:jc w:val="center"/>
        <w:rPr>
          <w:b/>
          <w:bCs/>
          <w:color w:val="auto"/>
          <w:sz w:val="32"/>
          <w:szCs w:val="31"/>
        </w:rPr>
      </w:pPr>
      <w:r w:rsidRPr="00D73C20">
        <w:rPr>
          <w:b/>
          <w:bCs/>
          <w:color w:val="auto"/>
          <w:sz w:val="32"/>
          <w:szCs w:val="31"/>
        </w:rPr>
        <w:t>COMUNICATO STAMPA</w:t>
      </w:r>
      <w:r w:rsidRPr="00D73C20">
        <w:rPr>
          <w:b/>
          <w:bCs/>
          <w:color w:val="auto"/>
          <w:sz w:val="32"/>
          <w:szCs w:val="31"/>
        </w:rPr>
        <w:br/>
      </w:r>
      <w:r w:rsidR="00744BCD" w:rsidRPr="0069292C">
        <w:rPr>
          <w:b/>
          <w:bCs/>
          <w:color w:val="auto"/>
          <w:sz w:val="32"/>
          <w:szCs w:val="31"/>
        </w:rPr>
        <w:t>CORONAVIRUS: IN 7 GIORNI NETT</w:t>
      </w:r>
      <w:r w:rsidR="00A844BE">
        <w:rPr>
          <w:b/>
          <w:bCs/>
          <w:color w:val="auto"/>
          <w:sz w:val="32"/>
          <w:szCs w:val="31"/>
        </w:rPr>
        <w:t xml:space="preserve">A DISCESA DEI CONTAGI </w:t>
      </w:r>
      <w:r w:rsidR="00A844BE">
        <w:rPr>
          <w:b/>
          <w:bCs/>
          <w:color w:val="auto"/>
          <w:sz w:val="32"/>
          <w:szCs w:val="31"/>
        </w:rPr>
        <w:br/>
        <w:t xml:space="preserve">(-19,5%), </w:t>
      </w:r>
      <w:r w:rsidR="00744BCD" w:rsidRPr="0069292C">
        <w:rPr>
          <w:b/>
          <w:bCs/>
          <w:color w:val="auto"/>
          <w:sz w:val="32"/>
          <w:szCs w:val="31"/>
        </w:rPr>
        <w:t xml:space="preserve">MA </w:t>
      </w:r>
      <w:r w:rsidR="00CF5823">
        <w:rPr>
          <w:b/>
          <w:bCs/>
          <w:color w:val="auto"/>
          <w:sz w:val="32"/>
          <w:szCs w:val="31"/>
        </w:rPr>
        <w:t xml:space="preserve">CON </w:t>
      </w:r>
      <w:r w:rsidR="00744BCD" w:rsidRPr="0069292C">
        <w:rPr>
          <w:b/>
          <w:bCs/>
          <w:color w:val="auto"/>
          <w:sz w:val="32"/>
          <w:szCs w:val="31"/>
        </w:rPr>
        <w:t xml:space="preserve">TAMPONI </w:t>
      </w:r>
      <w:r w:rsidR="00CF5823">
        <w:rPr>
          <w:b/>
          <w:bCs/>
          <w:color w:val="auto"/>
          <w:sz w:val="32"/>
          <w:szCs w:val="31"/>
        </w:rPr>
        <w:t>A -</w:t>
      </w:r>
      <w:r w:rsidR="00744BCD" w:rsidRPr="0069292C">
        <w:rPr>
          <w:b/>
          <w:bCs/>
          <w:color w:val="auto"/>
          <w:sz w:val="32"/>
          <w:szCs w:val="31"/>
        </w:rPr>
        <w:t>20%. GIÙ TERAPIE INTENSIVE (-8,9%) E DECESSI (-7,3%)</w:t>
      </w:r>
      <w:r w:rsidR="00CF5823">
        <w:rPr>
          <w:b/>
          <w:bCs/>
          <w:color w:val="auto"/>
          <w:sz w:val="32"/>
          <w:szCs w:val="31"/>
        </w:rPr>
        <w:t>,</w:t>
      </w:r>
      <w:r w:rsidR="00744BCD" w:rsidRPr="0069292C">
        <w:rPr>
          <w:b/>
          <w:bCs/>
          <w:color w:val="auto"/>
          <w:sz w:val="32"/>
          <w:szCs w:val="31"/>
        </w:rPr>
        <w:t xml:space="preserve"> STABILI I RICOVERI ORDINARI.</w:t>
      </w:r>
      <w:r w:rsidR="00744BCD">
        <w:rPr>
          <w:b/>
          <w:bCs/>
          <w:color w:val="auto"/>
          <w:sz w:val="32"/>
          <w:szCs w:val="31"/>
        </w:rPr>
        <w:t xml:space="preserve"> </w:t>
      </w:r>
      <w:r w:rsidR="00744BCD" w:rsidRPr="00713F55">
        <w:rPr>
          <w:b/>
          <w:bCs/>
          <w:color w:val="FF0000"/>
          <w:sz w:val="32"/>
          <w:szCs w:val="31"/>
        </w:rPr>
        <w:br/>
      </w:r>
      <w:r w:rsidR="00744BCD" w:rsidRPr="008C01F9">
        <w:rPr>
          <w:b/>
          <w:bCs/>
          <w:color w:val="auto"/>
          <w:sz w:val="32"/>
          <w:szCs w:val="31"/>
        </w:rPr>
        <w:t>CAMPAGNA VACCINALE: 4,2 MILIONI DI PERSONE NON VACCINATE E 2 MILIONI SENZA TERZA DOSE</w:t>
      </w:r>
      <w:r w:rsidR="00744BCD">
        <w:rPr>
          <w:b/>
          <w:bCs/>
          <w:color w:val="auto"/>
          <w:sz w:val="32"/>
          <w:szCs w:val="31"/>
        </w:rPr>
        <w:t>.</w:t>
      </w:r>
      <w:r w:rsidR="00744BCD" w:rsidRPr="00713F55">
        <w:rPr>
          <w:b/>
          <w:bCs/>
          <w:color w:val="FF0000"/>
          <w:sz w:val="32"/>
          <w:szCs w:val="31"/>
        </w:rPr>
        <w:br/>
      </w:r>
      <w:r w:rsidR="00FC37E0">
        <w:rPr>
          <w:b/>
          <w:bCs/>
          <w:color w:val="auto"/>
          <w:sz w:val="32"/>
          <w:szCs w:val="31"/>
        </w:rPr>
        <w:t xml:space="preserve">QUARTA DOSE SOMMINISTRATA SOLO A 1 IMMUNOCOMPROMESSO SU 10 E </w:t>
      </w:r>
      <w:r w:rsidR="00CF5823">
        <w:rPr>
          <w:b/>
          <w:bCs/>
          <w:color w:val="auto"/>
          <w:sz w:val="32"/>
          <w:szCs w:val="31"/>
        </w:rPr>
        <w:t>PARTENZA IN SORDINA</w:t>
      </w:r>
      <w:r w:rsidR="009619D7">
        <w:rPr>
          <w:b/>
          <w:bCs/>
          <w:color w:val="auto"/>
          <w:sz w:val="32"/>
          <w:szCs w:val="31"/>
        </w:rPr>
        <w:t xml:space="preserve"> (0,7%) </w:t>
      </w:r>
      <w:r w:rsidR="00744BCD">
        <w:rPr>
          <w:b/>
          <w:bCs/>
          <w:color w:val="auto"/>
          <w:sz w:val="32"/>
          <w:szCs w:val="31"/>
        </w:rPr>
        <w:t xml:space="preserve">PER GLI </w:t>
      </w:r>
      <w:r w:rsidR="00455FD5">
        <w:rPr>
          <w:b/>
          <w:bCs/>
          <w:color w:val="auto"/>
          <w:sz w:val="32"/>
          <w:szCs w:val="31"/>
        </w:rPr>
        <w:t>ULTERIORI</w:t>
      </w:r>
      <w:r w:rsidR="00744BCD">
        <w:rPr>
          <w:b/>
          <w:bCs/>
          <w:color w:val="auto"/>
          <w:sz w:val="32"/>
          <w:szCs w:val="31"/>
        </w:rPr>
        <w:t xml:space="preserve"> 4,4 </w:t>
      </w:r>
      <w:r w:rsidR="00FC37E0">
        <w:rPr>
          <w:b/>
          <w:bCs/>
          <w:color w:val="auto"/>
          <w:sz w:val="32"/>
          <w:szCs w:val="31"/>
        </w:rPr>
        <w:t>MILIONI</w:t>
      </w:r>
      <w:r w:rsidR="00391515">
        <w:rPr>
          <w:b/>
          <w:bCs/>
          <w:color w:val="auto"/>
          <w:sz w:val="32"/>
          <w:szCs w:val="31"/>
        </w:rPr>
        <w:t>.</w:t>
      </w:r>
      <w:r w:rsidR="00CF5823">
        <w:rPr>
          <w:b/>
          <w:bCs/>
          <w:color w:val="auto"/>
          <w:sz w:val="32"/>
          <w:szCs w:val="31"/>
        </w:rPr>
        <w:t xml:space="preserve"> </w:t>
      </w:r>
      <w:r w:rsidR="009619D7">
        <w:rPr>
          <w:b/>
          <w:bCs/>
          <w:color w:val="auto"/>
          <w:sz w:val="32"/>
          <w:szCs w:val="31"/>
        </w:rPr>
        <w:br/>
      </w:r>
      <w:r w:rsidR="009619D7" w:rsidRPr="009619D7">
        <w:rPr>
          <w:b/>
          <w:bCs/>
          <w:color w:val="auto"/>
          <w:sz w:val="32"/>
          <w:szCs w:val="31"/>
        </w:rPr>
        <w:t xml:space="preserve">CIRCOLAZIONE VIRALE </w:t>
      </w:r>
      <w:r w:rsidR="009619D7">
        <w:rPr>
          <w:b/>
          <w:bCs/>
          <w:color w:val="auto"/>
          <w:sz w:val="32"/>
          <w:szCs w:val="31"/>
        </w:rPr>
        <w:t xml:space="preserve">TROPPO </w:t>
      </w:r>
      <w:r w:rsidR="009619D7" w:rsidRPr="009619D7">
        <w:rPr>
          <w:b/>
          <w:bCs/>
          <w:color w:val="auto"/>
          <w:sz w:val="32"/>
          <w:szCs w:val="31"/>
        </w:rPr>
        <w:t>ELEVATA: 1° MAGGIO, NO ALLO STOP MASCHERINE AL CHIUSO.</w:t>
      </w:r>
    </w:p>
    <w:p w:rsidR="00744BCD" w:rsidRPr="00713F55" w:rsidRDefault="00744BCD" w:rsidP="00744BCD">
      <w:pPr>
        <w:spacing w:after="200" w:line="276" w:lineRule="auto"/>
        <w:jc w:val="both"/>
        <w:rPr>
          <w:b/>
          <w:bCs/>
          <w:color w:val="FF0000"/>
          <w:sz w:val="24"/>
          <w:szCs w:val="24"/>
        </w:rPr>
      </w:pPr>
      <w:r w:rsidRPr="007012E1">
        <w:rPr>
          <w:b/>
          <w:bCs/>
          <w:color w:val="auto"/>
          <w:sz w:val="24"/>
          <w:szCs w:val="24"/>
        </w:rPr>
        <w:t>IL MONITORAGGIO DELLA FONDAZIONE GIMBE RILEVA, NELLA SETTIMANA 13-19 APRILE, UNA NETTA RIDUZIONE DEI NUOVI CASI (353.193 vs 438.751)</w:t>
      </w:r>
      <w:r>
        <w:rPr>
          <w:b/>
          <w:bCs/>
          <w:color w:val="auto"/>
          <w:sz w:val="24"/>
          <w:szCs w:val="24"/>
        </w:rPr>
        <w:t xml:space="preserve"> </w:t>
      </w:r>
      <w:r w:rsidR="009619D7">
        <w:rPr>
          <w:b/>
          <w:bCs/>
          <w:color w:val="auto"/>
          <w:sz w:val="24"/>
          <w:szCs w:val="24"/>
        </w:rPr>
        <w:t xml:space="preserve">IN </w:t>
      </w:r>
      <w:r>
        <w:rPr>
          <w:b/>
          <w:bCs/>
          <w:color w:val="auto"/>
          <w:sz w:val="24"/>
          <w:szCs w:val="24"/>
        </w:rPr>
        <w:t>TUTTE LE REGIONI</w:t>
      </w:r>
      <w:r w:rsidR="00CF5823">
        <w:rPr>
          <w:b/>
          <w:bCs/>
          <w:color w:val="auto"/>
          <w:sz w:val="24"/>
          <w:szCs w:val="24"/>
        </w:rPr>
        <w:t>, SU CUI PESA IL SENSIBILE CALO DELL’ATTVITÀ DI TESTING</w:t>
      </w:r>
      <w:r w:rsidRPr="007012E1">
        <w:rPr>
          <w:b/>
          <w:bCs/>
          <w:color w:val="auto"/>
          <w:sz w:val="24"/>
          <w:szCs w:val="24"/>
        </w:rPr>
        <w:t>. SONO 72 LE PROVINCE CON INCIDENZA SUPERIORE A 500 CASI PER 100.000 ABITANTI. OCCUPAZIONE DEI POSTI LETTO</w:t>
      </w:r>
      <w:r w:rsidR="00CF5823">
        <w:rPr>
          <w:b/>
          <w:bCs/>
          <w:color w:val="auto"/>
          <w:sz w:val="24"/>
          <w:szCs w:val="24"/>
        </w:rPr>
        <w:t xml:space="preserve"> STABILE</w:t>
      </w:r>
      <w:r w:rsidRPr="007012E1">
        <w:rPr>
          <w:b/>
          <w:bCs/>
          <w:color w:val="auto"/>
          <w:sz w:val="24"/>
          <w:szCs w:val="24"/>
        </w:rPr>
        <w:t xml:space="preserve"> IN AREA MEDICA (+7) E IN </w:t>
      </w:r>
      <w:r w:rsidR="00CF5823">
        <w:rPr>
          <w:b/>
          <w:bCs/>
          <w:color w:val="auto"/>
          <w:sz w:val="24"/>
          <w:szCs w:val="24"/>
        </w:rPr>
        <w:t>RIDUZIONE</w:t>
      </w:r>
      <w:r w:rsidR="00CF5823" w:rsidRPr="007012E1">
        <w:rPr>
          <w:b/>
          <w:bCs/>
          <w:color w:val="auto"/>
          <w:sz w:val="24"/>
          <w:szCs w:val="24"/>
        </w:rPr>
        <w:t xml:space="preserve"> </w:t>
      </w:r>
      <w:r w:rsidRPr="007012E1">
        <w:rPr>
          <w:b/>
          <w:bCs/>
          <w:color w:val="auto"/>
          <w:sz w:val="24"/>
          <w:szCs w:val="24"/>
        </w:rPr>
        <w:t xml:space="preserve">NELLE TERAPIE INTENSIVE (-41). IN CALO I DECESSI (861). </w:t>
      </w:r>
      <w:r>
        <w:rPr>
          <w:b/>
          <w:bCs/>
          <w:color w:val="auto"/>
          <w:sz w:val="24"/>
          <w:szCs w:val="24"/>
        </w:rPr>
        <w:t>INVARIATE</w:t>
      </w:r>
      <w:r w:rsidRPr="007012E1">
        <w:rPr>
          <w:b/>
          <w:bCs/>
          <w:color w:val="auto"/>
          <w:sz w:val="24"/>
          <w:szCs w:val="24"/>
        </w:rPr>
        <w:t xml:space="preserve"> LE PERCENTUALI DI POPOLAZIONE VACCINATA CON ALMENO UNA DOSE (85,6%) E CON CICLO COMPLETO (84,1%). 6,89 MILIONI DI NON VACCINATI, DI CUI 2,69 MILIONI DI GUARITI PROTETTI SOLO TEMPORANEAMENTE. TASSO DI </w:t>
      </w:r>
      <w:r w:rsidR="00A844BE">
        <w:rPr>
          <w:b/>
          <w:bCs/>
          <w:color w:val="auto"/>
          <w:sz w:val="24"/>
          <w:szCs w:val="24"/>
        </w:rPr>
        <w:t xml:space="preserve">COPERTURA TERZE DOSI ALL’83,9%. </w:t>
      </w:r>
      <w:r w:rsidRPr="007012E1">
        <w:rPr>
          <w:b/>
          <w:bCs/>
          <w:color w:val="auto"/>
          <w:sz w:val="24"/>
          <w:szCs w:val="24"/>
        </w:rPr>
        <w:t>SOLO 80.554</w:t>
      </w:r>
      <w:r w:rsidRPr="007012E1">
        <w:rPr>
          <w:rFonts w:eastAsia="Times New Roman" w:cstheme="minorHAnsi"/>
          <w:color w:val="auto"/>
        </w:rPr>
        <w:t xml:space="preserve"> </w:t>
      </w:r>
      <w:r w:rsidRPr="007012E1">
        <w:rPr>
          <w:b/>
          <w:bCs/>
          <w:color w:val="auto"/>
          <w:sz w:val="24"/>
          <w:szCs w:val="24"/>
        </w:rPr>
        <w:t xml:space="preserve">QUARTE DOSI SOMMINISTRATE AGLI IMMUNOCOMPROMESSI </w:t>
      </w:r>
      <w:r>
        <w:rPr>
          <w:b/>
          <w:bCs/>
          <w:color w:val="auto"/>
          <w:sz w:val="24"/>
          <w:szCs w:val="24"/>
        </w:rPr>
        <w:t>E</w:t>
      </w:r>
      <w:r w:rsidR="00455FD5">
        <w:rPr>
          <w:b/>
          <w:bCs/>
          <w:color w:val="auto"/>
          <w:sz w:val="24"/>
          <w:szCs w:val="24"/>
        </w:rPr>
        <w:t xml:space="preserve"> 29.158</w:t>
      </w:r>
      <w:r w:rsidRPr="00D619B7">
        <w:rPr>
          <w:b/>
          <w:bCs/>
          <w:color w:val="FF0000"/>
          <w:sz w:val="24"/>
          <w:szCs w:val="24"/>
        </w:rPr>
        <w:t xml:space="preserve"> </w:t>
      </w:r>
      <w:r>
        <w:rPr>
          <w:b/>
          <w:bCs/>
          <w:color w:val="auto"/>
          <w:sz w:val="24"/>
          <w:szCs w:val="24"/>
        </w:rPr>
        <w:t xml:space="preserve">A </w:t>
      </w:r>
      <w:r w:rsidR="00A844BE">
        <w:rPr>
          <w:b/>
          <w:bCs/>
          <w:color w:val="auto"/>
          <w:sz w:val="24"/>
          <w:szCs w:val="24"/>
        </w:rPr>
        <w:t>OVER 80, OSPITI RSA E FRAGILI DELLA FASCIA 60-79 ANNI</w:t>
      </w:r>
      <w:r w:rsidR="001D6F38">
        <w:rPr>
          <w:b/>
          <w:bCs/>
          <w:color w:val="auto"/>
          <w:sz w:val="24"/>
          <w:szCs w:val="24"/>
        </w:rPr>
        <w:t xml:space="preserve">. </w:t>
      </w:r>
      <w:r w:rsidR="00262672" w:rsidRPr="001D6F38">
        <w:rPr>
          <w:b/>
          <w:bCs/>
          <w:color w:val="auto"/>
          <w:sz w:val="24"/>
          <w:szCs w:val="24"/>
        </w:rPr>
        <w:t xml:space="preserve">CON </w:t>
      </w:r>
      <w:r w:rsidR="00262672">
        <w:rPr>
          <w:b/>
          <w:bCs/>
          <w:color w:val="auto"/>
          <w:sz w:val="24"/>
          <w:szCs w:val="24"/>
        </w:rPr>
        <w:t>L’ATTUALE</w:t>
      </w:r>
      <w:r w:rsidR="00262672" w:rsidRPr="001D6F38">
        <w:rPr>
          <w:b/>
          <w:bCs/>
          <w:color w:val="auto"/>
          <w:sz w:val="24"/>
          <w:szCs w:val="24"/>
        </w:rPr>
        <w:t xml:space="preserve"> LIVELLO DI CIRCOLAZIONE </w:t>
      </w:r>
      <w:r w:rsidR="00262672">
        <w:rPr>
          <w:b/>
          <w:bCs/>
          <w:color w:val="auto"/>
          <w:sz w:val="24"/>
          <w:szCs w:val="24"/>
        </w:rPr>
        <w:t>DEL VIRUS</w:t>
      </w:r>
      <w:r w:rsidR="00262672" w:rsidRPr="001D6F38">
        <w:rPr>
          <w:b/>
          <w:bCs/>
          <w:color w:val="auto"/>
          <w:sz w:val="24"/>
          <w:szCs w:val="24"/>
        </w:rPr>
        <w:t xml:space="preserve"> </w:t>
      </w:r>
      <w:r w:rsidR="001D6F38" w:rsidRPr="001D6F38">
        <w:rPr>
          <w:b/>
          <w:bCs/>
          <w:color w:val="auto"/>
          <w:sz w:val="24"/>
          <w:szCs w:val="24"/>
        </w:rPr>
        <w:t xml:space="preserve">ABOLIRE L’OBBLIGO DI MASCHERINA NEI LOCALI AL CHIUSO </w:t>
      </w:r>
      <w:r w:rsidR="00DC39E5">
        <w:rPr>
          <w:b/>
          <w:bCs/>
          <w:color w:val="auto"/>
          <w:sz w:val="24"/>
          <w:szCs w:val="24"/>
        </w:rPr>
        <w:t>È UNA DECISIONE MOLTO AVVENTATA</w:t>
      </w:r>
      <w:r w:rsidR="001D6F38">
        <w:rPr>
          <w:b/>
          <w:bCs/>
          <w:color w:val="auto"/>
          <w:sz w:val="24"/>
          <w:szCs w:val="24"/>
        </w:rPr>
        <w:t>.</w:t>
      </w:r>
    </w:p>
    <w:p w:rsidR="002D4262" w:rsidRPr="00E64D25" w:rsidRDefault="00713F55" w:rsidP="00744BCD">
      <w:pPr>
        <w:spacing w:line="276" w:lineRule="auto"/>
        <w:jc w:val="center"/>
        <w:rPr>
          <w:b/>
          <w:bCs/>
          <w:color w:val="auto"/>
          <w:spacing w:val="-2"/>
          <w:sz w:val="32"/>
          <w:szCs w:val="32"/>
        </w:rPr>
      </w:pPr>
      <w:r>
        <w:rPr>
          <w:rFonts w:cs="Calibri"/>
          <w:b/>
          <w:bCs/>
          <w:color w:val="auto"/>
        </w:rPr>
        <w:t>21</w:t>
      </w:r>
      <w:r w:rsidR="00296AF1" w:rsidRPr="00E64D25">
        <w:rPr>
          <w:rFonts w:cs="Calibri"/>
          <w:b/>
          <w:bCs/>
          <w:color w:val="auto"/>
        </w:rPr>
        <w:t xml:space="preserve"> aprile</w:t>
      </w:r>
      <w:r w:rsidR="002D4262" w:rsidRPr="00E64D25">
        <w:rPr>
          <w:rFonts w:cs="Calibri"/>
          <w:b/>
          <w:bCs/>
          <w:color w:val="auto"/>
        </w:rPr>
        <w:t xml:space="preserve"> 2022 - Fondazione GIMBE, Bologna</w:t>
      </w:r>
    </w:p>
    <w:p w:rsidR="00896078" w:rsidRPr="00896078" w:rsidRDefault="00896078" w:rsidP="00061647">
      <w:pPr>
        <w:spacing w:line="276" w:lineRule="auto"/>
        <w:jc w:val="both"/>
        <w:rPr>
          <w:color w:val="auto"/>
        </w:rPr>
      </w:pPr>
      <w:r w:rsidRPr="00896078">
        <w:rPr>
          <w:color w:val="auto"/>
        </w:rPr>
        <w:t>Il monitoraggio indipendente della Fondazione GIMBE rileva nella settimana 13-19 aprile 2022, rispetto alla precedente, una diminuzione d</w:t>
      </w:r>
      <w:r w:rsidR="00553106">
        <w:rPr>
          <w:color w:val="auto"/>
        </w:rPr>
        <w:t>e</w:t>
      </w:r>
      <w:r w:rsidRPr="00896078">
        <w:rPr>
          <w:color w:val="auto"/>
        </w:rPr>
        <w:t>i nuovi casi (353.193 vs 438.751) (</w:t>
      </w:r>
      <w:r w:rsidRPr="00553106">
        <w:rPr>
          <w:color w:val="auto"/>
          <w:highlight w:val="yellow"/>
        </w:rPr>
        <w:t>figura 1</w:t>
      </w:r>
      <w:r w:rsidRPr="00896078">
        <w:rPr>
          <w:color w:val="auto"/>
        </w:rPr>
        <w:t>) e dei decessi (861 vs 929) (</w:t>
      </w:r>
      <w:r w:rsidRPr="00553106">
        <w:rPr>
          <w:color w:val="auto"/>
          <w:highlight w:val="yellow"/>
        </w:rPr>
        <w:t>figura 2</w:t>
      </w:r>
      <w:r w:rsidRPr="00896078">
        <w:rPr>
          <w:color w:val="auto"/>
        </w:rPr>
        <w:t>). In calo anche i casi attualmente positivi (1.208.279 vs 1.228.745), le persone in isolamento domiciliare (1.197.643 vs 1.218.075), le terapie intensive (422 vs 463)</w:t>
      </w:r>
      <w:r w:rsidR="003F3D44">
        <w:rPr>
          <w:color w:val="auto"/>
        </w:rPr>
        <w:t xml:space="preserve">, stabili </w:t>
      </w:r>
      <w:r w:rsidR="003F3D44" w:rsidRPr="00896078">
        <w:rPr>
          <w:color w:val="auto"/>
        </w:rPr>
        <w:t xml:space="preserve">i ricoveri </w:t>
      </w:r>
      <w:r w:rsidR="003F3D44">
        <w:rPr>
          <w:color w:val="auto"/>
        </w:rPr>
        <w:t>con sintomi (10.214 vs 10.207)</w:t>
      </w:r>
      <w:r w:rsidRPr="00896078">
        <w:rPr>
          <w:color w:val="auto"/>
        </w:rPr>
        <w:t xml:space="preserve"> (</w:t>
      </w:r>
      <w:r w:rsidRPr="00553106">
        <w:rPr>
          <w:color w:val="auto"/>
          <w:highlight w:val="yellow"/>
        </w:rPr>
        <w:t>figura 3</w:t>
      </w:r>
      <w:r w:rsidRPr="00896078">
        <w:rPr>
          <w:color w:val="auto"/>
        </w:rPr>
        <w:t>). In dettaglio, rispetto alla settimana precedente, si registrano le seguenti variazioni:</w:t>
      </w:r>
    </w:p>
    <w:p w:rsidR="00553106" w:rsidRPr="00553106" w:rsidRDefault="00553106" w:rsidP="00553106">
      <w:pPr>
        <w:pStyle w:val="Paragrafoelenco"/>
        <w:numPr>
          <w:ilvl w:val="0"/>
          <w:numId w:val="3"/>
        </w:numPr>
        <w:spacing w:after="0" w:line="276" w:lineRule="auto"/>
        <w:ind w:left="357" w:hanging="357"/>
        <w:jc w:val="both"/>
        <w:rPr>
          <w:color w:val="auto"/>
        </w:rPr>
      </w:pPr>
      <w:r w:rsidRPr="00553106">
        <w:rPr>
          <w:color w:val="auto"/>
        </w:rPr>
        <w:t>Decessi: 861 (-7,3%), di cui 55 riferiti a periodi precedenti</w:t>
      </w:r>
    </w:p>
    <w:p w:rsidR="00553106" w:rsidRPr="00553106" w:rsidRDefault="00553106" w:rsidP="00553106">
      <w:pPr>
        <w:pStyle w:val="Paragrafoelenco"/>
        <w:numPr>
          <w:ilvl w:val="0"/>
          <w:numId w:val="3"/>
        </w:numPr>
        <w:spacing w:after="0" w:line="276" w:lineRule="auto"/>
        <w:ind w:left="357" w:hanging="357"/>
        <w:jc w:val="both"/>
        <w:rPr>
          <w:color w:val="auto"/>
        </w:rPr>
      </w:pPr>
      <w:r w:rsidRPr="00553106">
        <w:rPr>
          <w:color w:val="auto"/>
        </w:rPr>
        <w:t>Terapia intensiva: -41 (-8,9%)</w:t>
      </w:r>
    </w:p>
    <w:p w:rsidR="00553106" w:rsidRPr="00553106" w:rsidRDefault="00553106" w:rsidP="00553106">
      <w:pPr>
        <w:pStyle w:val="Paragrafoelenco"/>
        <w:numPr>
          <w:ilvl w:val="0"/>
          <w:numId w:val="3"/>
        </w:numPr>
        <w:spacing w:after="0" w:line="276" w:lineRule="auto"/>
        <w:ind w:left="357" w:hanging="357"/>
        <w:jc w:val="both"/>
        <w:rPr>
          <w:color w:val="auto"/>
        </w:rPr>
      </w:pPr>
      <w:r w:rsidRPr="00553106">
        <w:rPr>
          <w:color w:val="auto"/>
        </w:rPr>
        <w:t>Ricoverati con sintomi: +7 (+</w:t>
      </w:r>
      <w:r>
        <w:rPr>
          <w:color w:val="auto"/>
        </w:rPr>
        <w:t>0</w:t>
      </w:r>
      <w:r w:rsidRPr="00553106">
        <w:rPr>
          <w:color w:val="auto"/>
        </w:rPr>
        <w:t>,1%)</w:t>
      </w:r>
    </w:p>
    <w:p w:rsidR="00553106" w:rsidRPr="00553106" w:rsidRDefault="00553106" w:rsidP="00553106">
      <w:pPr>
        <w:pStyle w:val="Paragrafoelenco"/>
        <w:numPr>
          <w:ilvl w:val="0"/>
          <w:numId w:val="3"/>
        </w:numPr>
        <w:spacing w:after="0" w:line="276" w:lineRule="auto"/>
        <w:ind w:left="357" w:hanging="357"/>
        <w:jc w:val="both"/>
        <w:rPr>
          <w:color w:val="auto"/>
        </w:rPr>
      </w:pPr>
      <w:r w:rsidRPr="00553106">
        <w:rPr>
          <w:color w:val="auto"/>
        </w:rPr>
        <w:t>Isolamento domiciliare: -20.432 (-1,7%)</w:t>
      </w:r>
    </w:p>
    <w:p w:rsidR="00553106" w:rsidRPr="00553106" w:rsidRDefault="00553106" w:rsidP="00553106">
      <w:pPr>
        <w:pStyle w:val="Paragrafoelenco"/>
        <w:numPr>
          <w:ilvl w:val="0"/>
          <w:numId w:val="3"/>
        </w:numPr>
        <w:spacing w:after="0" w:line="276" w:lineRule="auto"/>
        <w:ind w:left="357" w:hanging="357"/>
        <w:jc w:val="both"/>
        <w:rPr>
          <w:color w:val="auto"/>
        </w:rPr>
      </w:pPr>
      <w:r w:rsidRPr="00553106">
        <w:rPr>
          <w:color w:val="auto"/>
        </w:rPr>
        <w:t>Nuovi casi: 353.193 (-19,5%)</w:t>
      </w:r>
    </w:p>
    <w:p w:rsidR="00553106" w:rsidRPr="00553106" w:rsidRDefault="00553106" w:rsidP="00553106">
      <w:pPr>
        <w:pStyle w:val="Paragrafoelenco"/>
        <w:numPr>
          <w:ilvl w:val="0"/>
          <w:numId w:val="3"/>
        </w:numPr>
        <w:spacing w:line="276" w:lineRule="auto"/>
        <w:jc w:val="both"/>
        <w:rPr>
          <w:color w:val="auto"/>
        </w:rPr>
      </w:pPr>
      <w:r w:rsidRPr="00553106">
        <w:rPr>
          <w:color w:val="auto"/>
        </w:rPr>
        <w:t>Casi attualmente positivi: -20.466 (-1,7%)</w:t>
      </w:r>
    </w:p>
    <w:p w:rsidR="00C13A5D" w:rsidRPr="00553106" w:rsidRDefault="00FA4320" w:rsidP="00553106">
      <w:pPr>
        <w:spacing w:line="276" w:lineRule="auto"/>
        <w:jc w:val="both"/>
        <w:rPr>
          <w:color w:val="auto"/>
        </w:rPr>
      </w:pPr>
      <w:r w:rsidRPr="00557ACD">
        <w:rPr>
          <w:b/>
          <w:color w:val="auto"/>
        </w:rPr>
        <w:t xml:space="preserve">Nuovi casi. </w:t>
      </w:r>
      <w:r w:rsidRPr="00557ACD">
        <w:rPr>
          <w:color w:val="auto"/>
        </w:rPr>
        <w:t>«</w:t>
      </w:r>
      <w:r w:rsidR="00557ACD">
        <w:rPr>
          <w:color w:val="auto"/>
        </w:rPr>
        <w:t xml:space="preserve">Dopo due settimane di lieve riduzione </w:t>
      </w:r>
      <w:r w:rsidRPr="00557ACD">
        <w:rPr>
          <w:color w:val="auto"/>
        </w:rPr>
        <w:t>– dichiara Nino Cartabellotta, Presidente della Fondazione GIMBE –</w:t>
      </w:r>
      <w:r w:rsidR="003F3D44">
        <w:rPr>
          <w:color w:val="auto"/>
        </w:rPr>
        <w:t xml:space="preserve"> appaiono in netto calo i </w:t>
      </w:r>
      <w:r w:rsidR="005200F6" w:rsidRPr="00557ACD">
        <w:rPr>
          <w:color w:val="auto"/>
        </w:rPr>
        <w:t>nuovi casi settimanali</w:t>
      </w:r>
      <w:r w:rsidR="00A16713" w:rsidRPr="00557ACD">
        <w:rPr>
          <w:color w:val="auto"/>
        </w:rPr>
        <w:t xml:space="preserve"> </w:t>
      </w:r>
      <w:r w:rsidR="00B84259" w:rsidRPr="00557ACD">
        <w:rPr>
          <w:color w:val="auto"/>
        </w:rPr>
        <w:t>(-</w:t>
      </w:r>
      <w:r w:rsidR="00557ACD" w:rsidRPr="00557ACD">
        <w:rPr>
          <w:color w:val="auto"/>
        </w:rPr>
        <w:t>19</w:t>
      </w:r>
      <w:r w:rsidR="00B84259" w:rsidRPr="00557ACD">
        <w:rPr>
          <w:color w:val="auto"/>
        </w:rPr>
        <w:t>,5%)</w:t>
      </w:r>
      <w:r w:rsidR="000E781A" w:rsidRPr="00557ACD">
        <w:rPr>
          <w:color w:val="auto"/>
        </w:rPr>
        <w:t>,</w:t>
      </w:r>
      <w:r w:rsidR="00B84259" w:rsidRPr="00557ACD">
        <w:rPr>
          <w:color w:val="auto"/>
        </w:rPr>
        <w:t xml:space="preserve"> </w:t>
      </w:r>
      <w:r w:rsidR="00881A83" w:rsidRPr="00557ACD">
        <w:rPr>
          <w:color w:val="auto"/>
        </w:rPr>
        <w:t xml:space="preserve">che </w:t>
      </w:r>
      <w:r w:rsidR="00C6227B" w:rsidRPr="00557ACD">
        <w:rPr>
          <w:color w:val="auto"/>
        </w:rPr>
        <w:t xml:space="preserve">si attestano </w:t>
      </w:r>
      <w:r w:rsidRPr="00557ACD">
        <w:rPr>
          <w:color w:val="auto"/>
        </w:rPr>
        <w:t xml:space="preserve">a </w:t>
      </w:r>
      <w:r w:rsidR="00DB70BE" w:rsidRPr="00557ACD">
        <w:rPr>
          <w:color w:val="auto"/>
        </w:rPr>
        <w:t xml:space="preserve">quota </w:t>
      </w:r>
      <w:r w:rsidR="00557ACD" w:rsidRPr="00557ACD">
        <w:rPr>
          <w:color w:val="auto"/>
        </w:rPr>
        <w:t>353</w:t>
      </w:r>
      <w:r w:rsidR="00B92911" w:rsidRPr="00557ACD">
        <w:rPr>
          <w:color w:val="auto"/>
        </w:rPr>
        <w:t xml:space="preserve"> mila</w:t>
      </w:r>
      <w:r w:rsidR="00881A83" w:rsidRPr="00557ACD">
        <w:rPr>
          <w:color w:val="auto"/>
        </w:rPr>
        <w:t xml:space="preserve"> </w:t>
      </w:r>
      <w:r w:rsidR="004D0641" w:rsidRPr="00557ACD">
        <w:rPr>
          <w:color w:val="auto"/>
        </w:rPr>
        <w:t>con</w:t>
      </w:r>
      <w:r w:rsidRPr="00557ACD">
        <w:rPr>
          <w:color w:val="auto"/>
        </w:rPr>
        <w:t xml:space="preserve"> una media mobile a 7 giorni che </w:t>
      </w:r>
      <w:r w:rsidR="00C6227B" w:rsidRPr="00557ACD">
        <w:rPr>
          <w:color w:val="auto"/>
        </w:rPr>
        <w:t xml:space="preserve">scende intorno </w:t>
      </w:r>
      <w:r w:rsidR="00C13A5D" w:rsidRPr="00557ACD">
        <w:rPr>
          <w:color w:val="auto"/>
        </w:rPr>
        <w:t xml:space="preserve">ai </w:t>
      </w:r>
      <w:r w:rsidR="00557ACD" w:rsidRPr="00557ACD">
        <w:rPr>
          <w:color w:val="auto"/>
        </w:rPr>
        <w:t>50</w:t>
      </w:r>
      <w:r w:rsidR="00C13A5D" w:rsidRPr="00557ACD">
        <w:rPr>
          <w:color w:val="auto"/>
        </w:rPr>
        <w:t xml:space="preserve"> </w:t>
      </w:r>
      <w:r w:rsidR="008E50A0" w:rsidRPr="00557ACD">
        <w:rPr>
          <w:color w:val="auto"/>
        </w:rPr>
        <w:t>mila</w:t>
      </w:r>
      <w:r w:rsidR="00C13A5D" w:rsidRPr="00557ACD">
        <w:rPr>
          <w:color w:val="auto"/>
        </w:rPr>
        <w:t xml:space="preserve"> casi</w:t>
      </w:r>
      <w:r w:rsidR="00B84259" w:rsidRPr="00557ACD">
        <w:rPr>
          <w:color w:val="auto"/>
        </w:rPr>
        <w:t>: n</w:t>
      </w:r>
      <w:r w:rsidR="004D0641" w:rsidRPr="00557ACD">
        <w:rPr>
          <w:color w:val="auto"/>
        </w:rPr>
        <w:t>umeri condizionati da</w:t>
      </w:r>
      <w:r w:rsidR="00084E0B">
        <w:rPr>
          <w:color w:val="auto"/>
        </w:rPr>
        <w:t xml:space="preserve"> una riduzione di oltre il 20%</w:t>
      </w:r>
      <w:r w:rsidR="003F3D44">
        <w:rPr>
          <w:color w:val="auto"/>
        </w:rPr>
        <w:t xml:space="preserve"> </w:t>
      </w:r>
      <w:r w:rsidR="00E70AB7">
        <w:rPr>
          <w:color w:val="auto"/>
        </w:rPr>
        <w:t xml:space="preserve">dei tamponi </w:t>
      </w:r>
      <w:r w:rsidR="003F3D44">
        <w:rPr>
          <w:color w:val="auto"/>
        </w:rPr>
        <w:t>in conseguenza delle</w:t>
      </w:r>
      <w:r w:rsidR="00557ACD" w:rsidRPr="00557ACD">
        <w:rPr>
          <w:color w:val="auto"/>
        </w:rPr>
        <w:t xml:space="preserve"> festività pasquali</w:t>
      </w:r>
      <w:r w:rsidRPr="00557ACD">
        <w:rPr>
          <w:color w:val="auto"/>
        </w:rPr>
        <w:t>»</w:t>
      </w:r>
      <w:r w:rsidR="003D7565" w:rsidRPr="00557ACD">
        <w:rPr>
          <w:color w:val="auto"/>
        </w:rPr>
        <w:t xml:space="preserve"> </w:t>
      </w:r>
      <w:r w:rsidRPr="00557ACD">
        <w:rPr>
          <w:color w:val="auto"/>
        </w:rPr>
        <w:t>(</w:t>
      </w:r>
      <w:r w:rsidRPr="00557ACD">
        <w:rPr>
          <w:color w:val="auto"/>
          <w:highlight w:val="yellow"/>
        </w:rPr>
        <w:t>figura 4</w:t>
      </w:r>
      <w:r w:rsidRPr="00557ACD">
        <w:rPr>
          <w:color w:val="auto"/>
        </w:rPr>
        <w:t>).</w:t>
      </w:r>
      <w:r w:rsidR="00557ACD">
        <w:rPr>
          <w:color w:val="auto"/>
        </w:rPr>
        <w:t xml:space="preserve"> </w:t>
      </w:r>
      <w:r w:rsidR="00557ACD" w:rsidRPr="00557ACD">
        <w:rPr>
          <w:color w:val="auto"/>
        </w:rPr>
        <w:t>N</w:t>
      </w:r>
      <w:r w:rsidR="00AC37CB" w:rsidRPr="00557ACD">
        <w:rPr>
          <w:color w:val="auto"/>
        </w:rPr>
        <w:t xml:space="preserve">ella </w:t>
      </w:r>
      <w:r w:rsidR="008568BE" w:rsidRPr="00557ACD">
        <w:rPr>
          <w:color w:val="auto"/>
        </w:rPr>
        <w:t xml:space="preserve">settimana </w:t>
      </w:r>
      <w:r w:rsidR="00557ACD" w:rsidRPr="00557ACD">
        <w:rPr>
          <w:color w:val="auto"/>
        </w:rPr>
        <w:t>13</w:t>
      </w:r>
      <w:r w:rsidR="00881A83" w:rsidRPr="00557ACD">
        <w:rPr>
          <w:color w:val="auto"/>
        </w:rPr>
        <w:t>-</w:t>
      </w:r>
      <w:r w:rsidR="00557ACD" w:rsidRPr="00557ACD">
        <w:rPr>
          <w:color w:val="auto"/>
        </w:rPr>
        <w:t>19</w:t>
      </w:r>
      <w:r w:rsidR="00C6227B" w:rsidRPr="00557ACD">
        <w:rPr>
          <w:color w:val="auto"/>
        </w:rPr>
        <w:t xml:space="preserve"> aprile </w:t>
      </w:r>
      <w:r w:rsidR="00036D6B" w:rsidRPr="00557ACD">
        <w:rPr>
          <w:color w:val="auto"/>
        </w:rPr>
        <w:t xml:space="preserve">si </w:t>
      </w:r>
      <w:r w:rsidR="00EA4C24" w:rsidRPr="00557ACD">
        <w:rPr>
          <w:color w:val="auto"/>
        </w:rPr>
        <w:t xml:space="preserve">rileva </w:t>
      </w:r>
      <w:r w:rsidR="004B6A39" w:rsidRPr="00557ACD">
        <w:rPr>
          <w:color w:val="auto"/>
        </w:rPr>
        <w:t>un</w:t>
      </w:r>
      <w:r w:rsidR="00557ACD" w:rsidRPr="00557ACD">
        <w:rPr>
          <w:color w:val="auto"/>
        </w:rPr>
        <w:t>a</w:t>
      </w:r>
      <w:r w:rsidR="00D07DCA" w:rsidRPr="00557ACD">
        <w:rPr>
          <w:color w:val="auto"/>
        </w:rPr>
        <w:t xml:space="preserve"> </w:t>
      </w:r>
      <w:r w:rsidR="00557ACD" w:rsidRPr="00557ACD">
        <w:rPr>
          <w:color w:val="auto"/>
        </w:rPr>
        <w:t xml:space="preserve">riduzione </w:t>
      </w:r>
      <w:r w:rsidR="008568BE" w:rsidRPr="00557ACD">
        <w:rPr>
          <w:color w:val="auto"/>
        </w:rPr>
        <w:t>p</w:t>
      </w:r>
      <w:r w:rsidR="00ED6992" w:rsidRPr="00557ACD">
        <w:rPr>
          <w:color w:val="auto"/>
        </w:rPr>
        <w:t>ercentuale dei nuovi casi</w:t>
      </w:r>
      <w:r w:rsidR="00D07DCA" w:rsidRPr="00557ACD">
        <w:rPr>
          <w:color w:val="auto"/>
        </w:rPr>
        <w:t xml:space="preserve"> in </w:t>
      </w:r>
      <w:r w:rsidR="00557ACD" w:rsidRPr="00557ACD">
        <w:rPr>
          <w:color w:val="auto"/>
        </w:rPr>
        <w:t xml:space="preserve">tutte le </w:t>
      </w:r>
      <w:r w:rsidR="00D07DCA" w:rsidRPr="00557ACD">
        <w:rPr>
          <w:color w:val="auto"/>
        </w:rPr>
        <w:t>Regioni</w:t>
      </w:r>
      <w:r w:rsidR="00C13A5D" w:rsidRPr="00557ACD">
        <w:rPr>
          <w:color w:val="auto"/>
        </w:rPr>
        <w:t xml:space="preserve"> </w:t>
      </w:r>
      <w:r w:rsidR="00C6227B" w:rsidRPr="00557ACD">
        <w:rPr>
          <w:color w:val="auto"/>
        </w:rPr>
        <w:t xml:space="preserve">(dal </w:t>
      </w:r>
      <w:r w:rsidR="00557ACD" w:rsidRPr="00557ACD">
        <w:rPr>
          <w:color w:val="auto"/>
        </w:rPr>
        <w:t>-1,7</w:t>
      </w:r>
      <w:r w:rsidR="00C6227B" w:rsidRPr="00557ACD">
        <w:rPr>
          <w:color w:val="auto"/>
        </w:rPr>
        <w:t>% del</w:t>
      </w:r>
      <w:r w:rsidR="00557ACD" w:rsidRPr="00557ACD">
        <w:rPr>
          <w:color w:val="auto"/>
        </w:rPr>
        <w:t xml:space="preserve"> Molise</w:t>
      </w:r>
      <w:r w:rsidR="00C6227B" w:rsidRPr="00557ACD">
        <w:rPr>
          <w:color w:val="auto"/>
        </w:rPr>
        <w:t xml:space="preserve"> al </w:t>
      </w:r>
      <w:r w:rsidR="00557ACD" w:rsidRPr="00557ACD">
        <w:rPr>
          <w:color w:val="auto"/>
        </w:rPr>
        <w:t>-28,2%</w:t>
      </w:r>
      <w:r w:rsidR="00C6227B" w:rsidRPr="00557ACD">
        <w:rPr>
          <w:color w:val="auto"/>
        </w:rPr>
        <w:t xml:space="preserve"> </w:t>
      </w:r>
      <w:r w:rsidR="0020223B" w:rsidRPr="00557ACD">
        <w:rPr>
          <w:color w:val="auto"/>
        </w:rPr>
        <w:t>dell</w:t>
      </w:r>
      <w:r w:rsidR="00881A83" w:rsidRPr="00557ACD">
        <w:rPr>
          <w:color w:val="auto"/>
        </w:rPr>
        <w:t xml:space="preserve">a </w:t>
      </w:r>
      <w:r w:rsidR="00557ACD" w:rsidRPr="00557ACD">
        <w:rPr>
          <w:color w:val="auto"/>
        </w:rPr>
        <w:t xml:space="preserve">Calabria) </w:t>
      </w:r>
      <w:r w:rsidR="008568BE" w:rsidRPr="00557ACD">
        <w:rPr>
          <w:color w:val="auto"/>
        </w:rPr>
        <w:t>(</w:t>
      </w:r>
      <w:r w:rsidR="008568BE" w:rsidRPr="00557ACD">
        <w:rPr>
          <w:color w:val="auto"/>
          <w:highlight w:val="yellow"/>
        </w:rPr>
        <w:t>tabella 1</w:t>
      </w:r>
      <w:r w:rsidR="008568BE" w:rsidRPr="00557ACD">
        <w:rPr>
          <w:color w:val="auto"/>
        </w:rPr>
        <w:t>).</w:t>
      </w:r>
      <w:r w:rsidR="00D74F90" w:rsidRPr="00557ACD">
        <w:rPr>
          <w:color w:val="auto"/>
        </w:rPr>
        <w:t xml:space="preserve"> </w:t>
      </w:r>
      <w:r w:rsidR="001647A3" w:rsidRPr="00557ACD">
        <w:rPr>
          <w:color w:val="auto"/>
        </w:rPr>
        <w:t xml:space="preserve">Rispetto alla settimana precedente, </w:t>
      </w:r>
      <w:r w:rsidR="00D1612B" w:rsidRPr="00557ACD">
        <w:rPr>
          <w:color w:val="auto"/>
        </w:rPr>
        <w:t>in</w:t>
      </w:r>
      <w:r w:rsidR="00553106">
        <w:rPr>
          <w:color w:val="auto"/>
        </w:rPr>
        <w:t xml:space="preserve"> 6</w:t>
      </w:r>
      <w:r w:rsidR="001647A3" w:rsidRPr="00713F55">
        <w:rPr>
          <w:color w:val="FF0000"/>
        </w:rPr>
        <w:t xml:space="preserve"> </w:t>
      </w:r>
      <w:r w:rsidR="001647A3" w:rsidRPr="00557ACD">
        <w:rPr>
          <w:color w:val="auto"/>
        </w:rPr>
        <w:t xml:space="preserve">Province </w:t>
      </w:r>
      <w:r w:rsidR="00D1612B" w:rsidRPr="00557ACD">
        <w:rPr>
          <w:color w:val="auto"/>
        </w:rPr>
        <w:t xml:space="preserve">si rileva un incremento percentuale dei </w:t>
      </w:r>
      <w:r w:rsidR="001647A3" w:rsidRPr="00557ACD">
        <w:rPr>
          <w:color w:val="auto"/>
        </w:rPr>
        <w:t>nuovi casi</w:t>
      </w:r>
      <w:r w:rsidR="00D1612B" w:rsidRPr="00557ACD">
        <w:rPr>
          <w:color w:val="auto"/>
        </w:rPr>
        <w:t xml:space="preserve">, in </w:t>
      </w:r>
      <w:r w:rsidR="00553106">
        <w:rPr>
          <w:color w:val="auto"/>
        </w:rPr>
        <w:t>101</w:t>
      </w:r>
      <w:r w:rsidR="001647A3" w:rsidRPr="00713F55">
        <w:rPr>
          <w:color w:val="FF0000"/>
        </w:rPr>
        <w:t xml:space="preserve"> </w:t>
      </w:r>
      <w:r w:rsidR="001647A3" w:rsidRPr="00553106">
        <w:rPr>
          <w:color w:val="auto"/>
        </w:rPr>
        <w:t xml:space="preserve">una </w:t>
      </w:r>
      <w:r w:rsidR="00D1612B" w:rsidRPr="00553106">
        <w:rPr>
          <w:color w:val="auto"/>
        </w:rPr>
        <w:t xml:space="preserve">riduzione. </w:t>
      </w:r>
      <w:r w:rsidR="00EC02BE" w:rsidRPr="00553106">
        <w:rPr>
          <w:color w:val="auto"/>
        </w:rPr>
        <w:t>L’incidenza supera i 500 casi per 100.000 abitanti in</w:t>
      </w:r>
      <w:r w:rsidR="00553106" w:rsidRPr="00553106">
        <w:rPr>
          <w:color w:val="auto"/>
        </w:rPr>
        <w:t xml:space="preserve"> 72</w:t>
      </w:r>
      <w:r w:rsidR="00EC02BE" w:rsidRPr="00553106">
        <w:rPr>
          <w:color w:val="auto"/>
        </w:rPr>
        <w:t xml:space="preserve"> province</w:t>
      </w:r>
      <w:r w:rsidR="00553106" w:rsidRPr="00553106">
        <w:rPr>
          <w:color w:val="auto"/>
        </w:rPr>
        <w:t xml:space="preserve">: Ascoli Piceno (972), </w:t>
      </w:r>
      <w:r w:rsidR="00553106" w:rsidRPr="00553106">
        <w:rPr>
          <w:color w:val="auto"/>
        </w:rPr>
        <w:lastRenderedPageBreak/>
        <w:t xml:space="preserve">Chieti (931), Isernia (873), Teramo (852), Pescara (851), Avellino (831), Messina (789), Perugia (779), Bari (772), Ravenna (763), Catanzaro (758), Reggio nell'Emilia (756), Salerno (746), Treviso (740), Vicenza (738), Campobasso (735), Padova (732), Venezia (724), Rieti (723), Potenza (722), Caserta (721), Latina (717), Brindisi (697), Rovigo (685), Livorno (684), Benevento (683), Roma (680), Siena (680), Oristano (676), Belluno (662), Forlì-Cesena (654), Fermo (654), La Spezia (650), Massa Carrara (641), Lecce (638), Cagliari 637), Pisa (634), Taranto (631), Asti (631), Parma (629), Modena (626), Nuoro (623), Grosseto (619), Bologna (616), Verona (611), Sud Sardegna (608), Terni (603), Frosinone (601), Rimini (600), Ancona (598), Ferrara (591), Siracusa (589), Napoli (588), Crotone (587), Alessandria (586), L'Aquila (578), Arezzo (577), Vibo Valentia (568), Macerata (562), Genova (555), Firenze (554), Lucca (554), Matera (549), Pistoia (548), Foggia (542), Palermo (540), Viterbo (534), Trieste (525), Mantova (525), Reggio di Calabria (521), Trapani (519) e Verbano-Cusio-Ossola (505) </w:t>
      </w:r>
      <w:r w:rsidR="00C13A5D" w:rsidRPr="00553106">
        <w:rPr>
          <w:color w:val="auto"/>
        </w:rPr>
        <w:t>(</w:t>
      </w:r>
      <w:r w:rsidR="00C13A5D" w:rsidRPr="00553106">
        <w:rPr>
          <w:color w:val="auto"/>
          <w:highlight w:val="yellow"/>
        </w:rPr>
        <w:t>tabella 2</w:t>
      </w:r>
      <w:r w:rsidR="00C13A5D" w:rsidRPr="00553106">
        <w:rPr>
          <w:color w:val="auto"/>
        </w:rPr>
        <w:t>).</w:t>
      </w:r>
    </w:p>
    <w:p w:rsidR="00553106" w:rsidRPr="00553106" w:rsidRDefault="00553106" w:rsidP="008D2843">
      <w:pPr>
        <w:spacing w:line="276" w:lineRule="auto"/>
        <w:jc w:val="both"/>
        <w:rPr>
          <w:color w:val="auto"/>
        </w:rPr>
      </w:pPr>
      <w:r w:rsidRPr="00553106">
        <w:rPr>
          <w:b/>
          <w:color w:val="auto"/>
        </w:rPr>
        <w:t>Testing.</w:t>
      </w:r>
      <w:r w:rsidRPr="00553106">
        <w:rPr>
          <w:color w:val="auto"/>
        </w:rPr>
        <w:t xml:space="preserve"> Si registra un calo del numero dei tamponi totali (-21,4%): da 2.919.794 della settimana 6-12 aprile 2022 a 2.294.395 della settimana 13-19 aprile. In particolare i tamponi rapidi sono diminuiti del </w:t>
      </w:r>
      <w:r>
        <w:rPr>
          <w:color w:val="auto"/>
        </w:rPr>
        <w:t>21%</w:t>
      </w:r>
      <w:r w:rsidRPr="00553106">
        <w:rPr>
          <w:color w:val="auto"/>
        </w:rPr>
        <w:t xml:space="preserve"> (-488.627)</w:t>
      </w:r>
      <w:r w:rsidR="003F3D44">
        <w:rPr>
          <w:color w:val="auto"/>
        </w:rPr>
        <w:t>,</w:t>
      </w:r>
      <w:r w:rsidRPr="00553106">
        <w:rPr>
          <w:color w:val="auto"/>
        </w:rPr>
        <w:t xml:space="preserve"> </w:t>
      </w:r>
      <w:r>
        <w:rPr>
          <w:color w:val="auto"/>
        </w:rPr>
        <w:t>mentre</w:t>
      </w:r>
      <w:r w:rsidRPr="00553106">
        <w:rPr>
          <w:color w:val="auto"/>
        </w:rPr>
        <w:t xml:space="preserve"> quelli molecolari </w:t>
      </w:r>
      <w:r>
        <w:rPr>
          <w:color w:val="auto"/>
        </w:rPr>
        <w:t xml:space="preserve">del 22,9% </w:t>
      </w:r>
      <w:r w:rsidRPr="00553106">
        <w:rPr>
          <w:color w:val="auto"/>
        </w:rPr>
        <w:t>(-136.772) (</w:t>
      </w:r>
      <w:r w:rsidRPr="00553106">
        <w:rPr>
          <w:color w:val="auto"/>
          <w:highlight w:val="yellow"/>
        </w:rPr>
        <w:t>figura 5</w:t>
      </w:r>
      <w:r w:rsidRPr="00553106">
        <w:rPr>
          <w:color w:val="auto"/>
        </w:rPr>
        <w:t xml:space="preserve">). La media mobile a 7 giorni del tasso di positività </w:t>
      </w:r>
      <w:r>
        <w:rPr>
          <w:color w:val="auto"/>
        </w:rPr>
        <w:t xml:space="preserve">rimane sostanzialmente stabile </w:t>
      </w:r>
      <w:r w:rsidRPr="00553106">
        <w:rPr>
          <w:color w:val="auto"/>
        </w:rPr>
        <w:t>dal 13,</w:t>
      </w:r>
      <w:r>
        <w:rPr>
          <w:color w:val="auto"/>
        </w:rPr>
        <w:t>3</w:t>
      </w:r>
      <w:r w:rsidRPr="00553106">
        <w:rPr>
          <w:color w:val="auto"/>
        </w:rPr>
        <w:t>% al 13,</w:t>
      </w:r>
      <w:r>
        <w:rPr>
          <w:color w:val="auto"/>
        </w:rPr>
        <w:t>2</w:t>
      </w:r>
      <w:r w:rsidRPr="00553106">
        <w:rPr>
          <w:color w:val="auto"/>
        </w:rPr>
        <w:t>%</w:t>
      </w:r>
      <w:r>
        <w:rPr>
          <w:color w:val="auto"/>
        </w:rPr>
        <w:t xml:space="preserve"> per i </w:t>
      </w:r>
      <w:r w:rsidRPr="00553106">
        <w:rPr>
          <w:color w:val="auto"/>
        </w:rPr>
        <w:t>tamponi molecolari</w:t>
      </w:r>
      <w:r>
        <w:rPr>
          <w:color w:val="auto"/>
        </w:rPr>
        <w:t>, mentre aumenta dal 15,5</w:t>
      </w:r>
      <w:r w:rsidRPr="00553106">
        <w:rPr>
          <w:color w:val="auto"/>
        </w:rPr>
        <w:t>% al 1</w:t>
      </w:r>
      <w:r>
        <w:rPr>
          <w:color w:val="auto"/>
        </w:rPr>
        <w:t>6</w:t>
      </w:r>
      <w:r w:rsidRPr="00553106">
        <w:rPr>
          <w:color w:val="auto"/>
        </w:rPr>
        <w:t>,</w:t>
      </w:r>
      <w:r>
        <w:rPr>
          <w:color w:val="auto"/>
        </w:rPr>
        <w:t>4</w:t>
      </w:r>
      <w:r w:rsidRPr="00553106">
        <w:rPr>
          <w:color w:val="auto"/>
        </w:rPr>
        <w:t>% per gli antigenici rapidi (</w:t>
      </w:r>
      <w:r w:rsidRPr="00553106">
        <w:rPr>
          <w:color w:val="auto"/>
          <w:highlight w:val="yellow"/>
        </w:rPr>
        <w:t>figura 6</w:t>
      </w:r>
      <w:r w:rsidRPr="00553106">
        <w:rPr>
          <w:color w:val="auto"/>
        </w:rPr>
        <w:t>).</w:t>
      </w:r>
    </w:p>
    <w:p w:rsidR="00670CB5" w:rsidRPr="00557ACD" w:rsidRDefault="00C27708" w:rsidP="008751B7">
      <w:pPr>
        <w:spacing w:line="276" w:lineRule="auto"/>
        <w:jc w:val="both"/>
        <w:rPr>
          <w:color w:val="auto"/>
        </w:rPr>
      </w:pPr>
      <w:bookmarkStart w:id="0" w:name="_Hlk85025666"/>
      <w:r w:rsidRPr="00557ACD">
        <w:rPr>
          <w:b/>
          <w:color w:val="auto"/>
        </w:rPr>
        <w:t xml:space="preserve">Ospedalizzazioni. </w:t>
      </w:r>
      <w:r w:rsidR="002348FC" w:rsidRPr="00557ACD">
        <w:rPr>
          <w:color w:val="auto"/>
        </w:rPr>
        <w:t>«</w:t>
      </w:r>
      <w:r w:rsidR="003120AF" w:rsidRPr="00557ACD">
        <w:rPr>
          <w:color w:val="auto"/>
        </w:rPr>
        <w:t>Sul fronte degli</w:t>
      </w:r>
      <w:r w:rsidR="00932E57" w:rsidRPr="00557ACD">
        <w:rPr>
          <w:color w:val="auto"/>
        </w:rPr>
        <w:t xml:space="preserve"> </w:t>
      </w:r>
      <w:r w:rsidR="002723FF" w:rsidRPr="00557ACD">
        <w:rPr>
          <w:color w:val="auto"/>
        </w:rPr>
        <w:t>ospedali</w:t>
      </w:r>
      <w:r w:rsidR="00974518" w:rsidRPr="00557ACD">
        <w:rPr>
          <w:color w:val="auto"/>
        </w:rPr>
        <w:t xml:space="preserve"> </w:t>
      </w:r>
      <w:r w:rsidR="00582BAE" w:rsidRPr="00557ACD">
        <w:rPr>
          <w:color w:val="auto"/>
        </w:rPr>
        <w:t xml:space="preserve">– </w:t>
      </w:r>
      <w:r w:rsidR="002348FC" w:rsidRPr="0067561F">
        <w:rPr>
          <w:color w:val="auto"/>
        </w:rPr>
        <w:t xml:space="preserve">afferma </w:t>
      </w:r>
      <w:r w:rsidR="004222A8" w:rsidRPr="0067561F">
        <w:rPr>
          <w:color w:val="auto"/>
        </w:rPr>
        <w:t xml:space="preserve">Marco Mosti, Direttore Operativo della Fondazione GIMBE </w:t>
      </w:r>
      <w:r w:rsidR="00B813D5" w:rsidRPr="0067561F">
        <w:rPr>
          <w:color w:val="auto"/>
        </w:rPr>
        <w:t>–</w:t>
      </w:r>
      <w:r w:rsidR="004D0641" w:rsidRPr="0067561F">
        <w:rPr>
          <w:color w:val="auto"/>
        </w:rPr>
        <w:t xml:space="preserve"> </w:t>
      </w:r>
      <w:r w:rsidR="004222A8" w:rsidRPr="0067561F">
        <w:rPr>
          <w:color w:val="auto"/>
        </w:rPr>
        <w:t>il numero</w:t>
      </w:r>
      <w:r w:rsidR="00396D1B" w:rsidRPr="0067561F">
        <w:rPr>
          <w:color w:val="auto"/>
        </w:rPr>
        <w:t xml:space="preserve"> </w:t>
      </w:r>
      <w:r w:rsidR="004222A8" w:rsidRPr="0067561F">
        <w:rPr>
          <w:color w:val="auto"/>
        </w:rPr>
        <w:t xml:space="preserve">dei </w:t>
      </w:r>
      <w:r w:rsidR="00894BA6" w:rsidRPr="0067561F">
        <w:rPr>
          <w:color w:val="auto"/>
        </w:rPr>
        <w:t xml:space="preserve">posti letto occupati da pazienti COVID </w:t>
      </w:r>
      <w:r w:rsidR="0067561F" w:rsidRPr="0067561F">
        <w:rPr>
          <w:color w:val="auto"/>
        </w:rPr>
        <w:t xml:space="preserve">scende </w:t>
      </w:r>
      <w:r w:rsidR="00297DEB" w:rsidRPr="0067561F">
        <w:rPr>
          <w:color w:val="auto"/>
        </w:rPr>
        <w:t xml:space="preserve">in </w:t>
      </w:r>
      <w:r w:rsidR="00A51B01" w:rsidRPr="0067561F">
        <w:rPr>
          <w:color w:val="auto"/>
        </w:rPr>
        <w:t>terapia intensiva</w:t>
      </w:r>
      <w:r w:rsidR="00396D1B" w:rsidRPr="0067561F">
        <w:rPr>
          <w:color w:val="auto"/>
        </w:rPr>
        <w:t xml:space="preserve"> (</w:t>
      </w:r>
      <w:r w:rsidR="00B43A83" w:rsidRPr="0067561F">
        <w:rPr>
          <w:color w:val="auto"/>
        </w:rPr>
        <w:t>-</w:t>
      </w:r>
      <w:r w:rsidR="0067561F" w:rsidRPr="0067561F">
        <w:rPr>
          <w:color w:val="auto"/>
        </w:rPr>
        <w:t>8</w:t>
      </w:r>
      <w:r w:rsidR="00B43A83" w:rsidRPr="0067561F">
        <w:rPr>
          <w:color w:val="auto"/>
        </w:rPr>
        <w:t>,</w:t>
      </w:r>
      <w:r w:rsidR="0067561F" w:rsidRPr="0067561F">
        <w:rPr>
          <w:color w:val="auto"/>
        </w:rPr>
        <w:t>9</w:t>
      </w:r>
      <w:r w:rsidR="00385142" w:rsidRPr="0067561F">
        <w:rPr>
          <w:color w:val="auto"/>
        </w:rPr>
        <w:t>%)</w:t>
      </w:r>
      <w:r w:rsidR="003F3D44">
        <w:rPr>
          <w:color w:val="auto"/>
        </w:rPr>
        <w:t>,</w:t>
      </w:r>
      <w:r w:rsidR="003E1BA0" w:rsidRPr="0067561F">
        <w:rPr>
          <w:color w:val="auto"/>
        </w:rPr>
        <w:t xml:space="preserve"> </w:t>
      </w:r>
      <w:r w:rsidR="0067561F" w:rsidRPr="0067561F">
        <w:rPr>
          <w:color w:val="auto"/>
        </w:rPr>
        <w:t xml:space="preserve">mentre rimane stabile in </w:t>
      </w:r>
      <w:r w:rsidR="003F28D2" w:rsidRPr="0067561F">
        <w:rPr>
          <w:color w:val="auto"/>
        </w:rPr>
        <w:t>area medica (</w:t>
      </w:r>
      <w:r w:rsidR="0067561F" w:rsidRPr="0067561F">
        <w:rPr>
          <w:color w:val="auto"/>
        </w:rPr>
        <w:t>+0</w:t>
      </w:r>
      <w:r w:rsidR="00432864" w:rsidRPr="0067561F">
        <w:rPr>
          <w:color w:val="auto"/>
        </w:rPr>
        <w:t>,</w:t>
      </w:r>
      <w:r w:rsidR="0067561F" w:rsidRPr="0067561F">
        <w:rPr>
          <w:color w:val="auto"/>
        </w:rPr>
        <w:t>1</w:t>
      </w:r>
      <w:r w:rsidR="002B0A30" w:rsidRPr="0067561F">
        <w:rPr>
          <w:color w:val="auto"/>
        </w:rPr>
        <w:t>%)</w:t>
      </w:r>
      <w:r w:rsidR="00A51B01" w:rsidRPr="0067561F">
        <w:rPr>
          <w:color w:val="auto"/>
        </w:rPr>
        <w:t>»</w:t>
      </w:r>
      <w:r w:rsidR="000A422E" w:rsidRPr="0067561F">
        <w:rPr>
          <w:color w:val="auto"/>
        </w:rPr>
        <w:t xml:space="preserve">. </w:t>
      </w:r>
      <w:r w:rsidR="008751B7" w:rsidRPr="0067561F">
        <w:rPr>
          <w:color w:val="auto"/>
        </w:rPr>
        <w:t xml:space="preserve">In </w:t>
      </w:r>
      <w:r w:rsidR="00E70AB7">
        <w:rPr>
          <w:color w:val="auto"/>
        </w:rPr>
        <w:t>dettaglio</w:t>
      </w:r>
      <w:r w:rsidR="008751B7" w:rsidRPr="0067561F">
        <w:rPr>
          <w:color w:val="auto"/>
        </w:rPr>
        <w:t xml:space="preserve"> in area critica</w:t>
      </w:r>
      <w:r w:rsidR="003F3D44">
        <w:rPr>
          <w:color w:val="auto"/>
        </w:rPr>
        <w:t>,</w:t>
      </w:r>
      <w:r w:rsidR="008751B7" w:rsidRPr="0067561F">
        <w:rPr>
          <w:color w:val="auto"/>
        </w:rPr>
        <w:t xml:space="preserve"> </w:t>
      </w:r>
      <w:r w:rsidR="00432864" w:rsidRPr="0067561F">
        <w:rPr>
          <w:color w:val="auto"/>
        </w:rPr>
        <w:t xml:space="preserve">dopo una lieve risalita </w:t>
      </w:r>
      <w:r w:rsidR="00645CFD" w:rsidRPr="0067561F">
        <w:rPr>
          <w:color w:val="auto"/>
        </w:rPr>
        <w:t>all’</w:t>
      </w:r>
      <w:r w:rsidR="00432864" w:rsidRPr="0067561F">
        <w:rPr>
          <w:color w:val="auto"/>
        </w:rPr>
        <w:t xml:space="preserve">inizio </w:t>
      </w:r>
      <w:r w:rsidR="00645CFD" w:rsidRPr="0067561F">
        <w:rPr>
          <w:color w:val="auto"/>
        </w:rPr>
        <w:t xml:space="preserve">del </w:t>
      </w:r>
      <w:r w:rsidR="00557ACD" w:rsidRPr="0067561F">
        <w:rPr>
          <w:color w:val="auto"/>
        </w:rPr>
        <w:t>mese, al 19</w:t>
      </w:r>
      <w:r w:rsidR="003E1BA0" w:rsidRPr="0067561F">
        <w:rPr>
          <w:color w:val="auto"/>
        </w:rPr>
        <w:t xml:space="preserve"> aprile </w:t>
      </w:r>
      <w:r w:rsidR="00432864" w:rsidRPr="0067561F">
        <w:rPr>
          <w:color w:val="auto"/>
        </w:rPr>
        <w:t xml:space="preserve">si registrano </w:t>
      </w:r>
      <w:r w:rsidR="00557ACD" w:rsidRPr="0067561F">
        <w:rPr>
          <w:color w:val="auto"/>
        </w:rPr>
        <w:t>422</w:t>
      </w:r>
      <w:r w:rsidR="008751B7" w:rsidRPr="0067561F">
        <w:rPr>
          <w:color w:val="auto"/>
        </w:rPr>
        <w:t xml:space="preserve"> </w:t>
      </w:r>
      <w:r w:rsidR="004D0641" w:rsidRPr="0067561F">
        <w:rPr>
          <w:color w:val="auto"/>
        </w:rPr>
        <w:t>posti letto occupati</w:t>
      </w:r>
      <w:r w:rsidR="008751B7" w:rsidRPr="0067561F">
        <w:rPr>
          <w:color w:val="auto"/>
        </w:rPr>
        <w:t>; in area medica</w:t>
      </w:r>
      <w:r w:rsidR="008751B7" w:rsidRPr="00557ACD">
        <w:rPr>
          <w:color w:val="auto"/>
        </w:rPr>
        <w:t xml:space="preserve">, invece, dopo aver toccato il minimo di 8.234 il 12 marzo, </w:t>
      </w:r>
      <w:r w:rsidR="003E1BA0" w:rsidRPr="00557ACD">
        <w:rPr>
          <w:color w:val="auto"/>
        </w:rPr>
        <w:t xml:space="preserve">i posti letto COVID </w:t>
      </w:r>
      <w:r w:rsidR="008751B7" w:rsidRPr="00557ACD">
        <w:rPr>
          <w:color w:val="auto"/>
        </w:rPr>
        <w:t xml:space="preserve">sono risaliti </w:t>
      </w:r>
      <w:r w:rsidR="00D1612B" w:rsidRPr="00557ACD">
        <w:rPr>
          <w:color w:val="auto"/>
        </w:rPr>
        <w:t xml:space="preserve">per </w:t>
      </w:r>
      <w:r w:rsidR="00D1612B" w:rsidRPr="004C731C">
        <w:rPr>
          <w:color w:val="auto"/>
        </w:rPr>
        <w:t xml:space="preserve">stabilizzarsi </w:t>
      </w:r>
      <w:r w:rsidR="00C87417">
        <w:rPr>
          <w:color w:val="auto"/>
        </w:rPr>
        <w:t>da un paio di settimane (</w:t>
      </w:r>
      <w:r w:rsidR="00432864" w:rsidRPr="004C731C">
        <w:rPr>
          <w:color w:val="auto"/>
        </w:rPr>
        <w:t>10.2</w:t>
      </w:r>
      <w:r w:rsidR="00557ACD" w:rsidRPr="004C731C">
        <w:rPr>
          <w:color w:val="auto"/>
        </w:rPr>
        <w:t>14</w:t>
      </w:r>
      <w:r w:rsidR="00C87417">
        <w:rPr>
          <w:color w:val="auto"/>
        </w:rPr>
        <w:t xml:space="preserve"> al 19 aprile)</w:t>
      </w:r>
      <w:r w:rsidR="00557ACD" w:rsidRPr="004C731C">
        <w:rPr>
          <w:color w:val="auto"/>
        </w:rPr>
        <w:t xml:space="preserve"> </w:t>
      </w:r>
      <w:r w:rsidR="008751B7" w:rsidRPr="004C731C">
        <w:rPr>
          <w:color w:val="auto"/>
        </w:rPr>
        <w:t>(</w:t>
      </w:r>
      <w:r w:rsidR="008751B7" w:rsidRPr="004C731C">
        <w:rPr>
          <w:color w:val="auto"/>
          <w:highlight w:val="yellow"/>
        </w:rPr>
        <w:t>figura 7</w:t>
      </w:r>
      <w:r w:rsidR="008751B7" w:rsidRPr="004C731C">
        <w:rPr>
          <w:color w:val="auto"/>
        </w:rPr>
        <w:t xml:space="preserve">). </w:t>
      </w:r>
      <w:r w:rsidR="00913182" w:rsidRPr="004C731C">
        <w:rPr>
          <w:color w:val="auto"/>
        </w:rPr>
        <w:t xml:space="preserve">Al </w:t>
      </w:r>
      <w:r w:rsidR="00557ACD" w:rsidRPr="004C731C">
        <w:rPr>
          <w:color w:val="auto"/>
        </w:rPr>
        <w:t>19</w:t>
      </w:r>
      <w:r w:rsidR="00BD4F61" w:rsidRPr="004C731C">
        <w:rPr>
          <w:color w:val="auto"/>
        </w:rPr>
        <w:t xml:space="preserve"> aprile</w:t>
      </w:r>
      <w:r w:rsidR="00894BA6" w:rsidRPr="004C731C">
        <w:rPr>
          <w:color w:val="auto"/>
        </w:rPr>
        <w:t xml:space="preserve"> </w:t>
      </w:r>
      <w:r w:rsidR="002348FC" w:rsidRPr="004C731C">
        <w:rPr>
          <w:color w:val="auto"/>
        </w:rPr>
        <w:t xml:space="preserve">il tasso </w:t>
      </w:r>
      <w:r w:rsidR="00894BA6" w:rsidRPr="004C731C">
        <w:rPr>
          <w:color w:val="auto"/>
        </w:rPr>
        <w:t xml:space="preserve">nazionale </w:t>
      </w:r>
      <w:r w:rsidR="002348FC" w:rsidRPr="004C731C">
        <w:rPr>
          <w:color w:val="auto"/>
        </w:rPr>
        <w:t>di o</w:t>
      </w:r>
      <w:r w:rsidR="002348FC" w:rsidRPr="0067561F">
        <w:rPr>
          <w:color w:val="auto"/>
        </w:rPr>
        <w:t xml:space="preserve">ccupazione </w:t>
      </w:r>
      <w:r w:rsidR="004C18D7" w:rsidRPr="0067561F">
        <w:rPr>
          <w:color w:val="auto"/>
        </w:rPr>
        <w:t xml:space="preserve">da parte di pazienti COVID </w:t>
      </w:r>
      <w:r w:rsidR="00AE3C3E" w:rsidRPr="0067561F">
        <w:rPr>
          <w:color w:val="auto"/>
        </w:rPr>
        <w:t>non varia sostanzialmente</w:t>
      </w:r>
      <w:r w:rsidR="004222A8" w:rsidRPr="0067561F">
        <w:rPr>
          <w:color w:val="auto"/>
        </w:rPr>
        <w:t xml:space="preserve"> rispetto alla settimana precedente: </w:t>
      </w:r>
      <w:r w:rsidR="00C26FE5" w:rsidRPr="0067561F">
        <w:rPr>
          <w:color w:val="auto"/>
        </w:rPr>
        <w:t>15</w:t>
      </w:r>
      <w:r w:rsidR="00BD4F61" w:rsidRPr="0067561F">
        <w:rPr>
          <w:color w:val="auto"/>
        </w:rPr>
        <w:t>,</w:t>
      </w:r>
      <w:r w:rsidR="0067561F" w:rsidRPr="0067561F">
        <w:rPr>
          <w:color w:val="auto"/>
        </w:rPr>
        <w:t>8</w:t>
      </w:r>
      <w:r w:rsidR="002E37EA" w:rsidRPr="0067561F">
        <w:rPr>
          <w:color w:val="auto"/>
        </w:rPr>
        <w:t xml:space="preserve">% in area medica e </w:t>
      </w:r>
      <w:r w:rsidR="00380531" w:rsidRPr="0067561F">
        <w:rPr>
          <w:color w:val="auto"/>
        </w:rPr>
        <w:t>4,</w:t>
      </w:r>
      <w:r w:rsidR="0067561F" w:rsidRPr="0067561F">
        <w:rPr>
          <w:color w:val="auto"/>
        </w:rPr>
        <w:t>5</w:t>
      </w:r>
      <w:r w:rsidR="002348FC" w:rsidRPr="0067561F">
        <w:rPr>
          <w:color w:val="auto"/>
        </w:rPr>
        <w:t>% in area critica</w:t>
      </w:r>
      <w:bookmarkEnd w:id="0"/>
      <w:r w:rsidR="00C97388" w:rsidRPr="0067561F">
        <w:rPr>
          <w:color w:val="auto"/>
        </w:rPr>
        <w:t>.</w:t>
      </w:r>
      <w:r w:rsidR="00341691" w:rsidRPr="0067561F">
        <w:rPr>
          <w:color w:val="auto"/>
        </w:rPr>
        <w:t xml:space="preserve"> </w:t>
      </w:r>
      <w:r w:rsidR="00C26FE5" w:rsidRPr="0067561F">
        <w:rPr>
          <w:color w:val="auto"/>
        </w:rPr>
        <w:t>1</w:t>
      </w:r>
      <w:r w:rsidR="00380531" w:rsidRPr="0067561F">
        <w:rPr>
          <w:color w:val="auto"/>
        </w:rPr>
        <w:t>3</w:t>
      </w:r>
      <w:r w:rsidR="00C26FE5" w:rsidRPr="0067561F">
        <w:rPr>
          <w:color w:val="auto"/>
        </w:rPr>
        <w:t xml:space="preserve"> Regioni </w:t>
      </w:r>
      <w:r w:rsidR="00341691" w:rsidRPr="0067561F">
        <w:rPr>
          <w:color w:val="auto"/>
        </w:rPr>
        <w:t>superano la soglia del 15% in area medica</w:t>
      </w:r>
      <w:r w:rsidR="00B80EAA" w:rsidRPr="0067561F">
        <w:rPr>
          <w:color w:val="auto"/>
        </w:rPr>
        <w:t>,</w:t>
      </w:r>
      <w:r w:rsidR="00913182" w:rsidRPr="0067561F">
        <w:rPr>
          <w:color w:val="auto"/>
        </w:rPr>
        <w:t xml:space="preserve"> con </w:t>
      </w:r>
      <w:r w:rsidR="00FB7CD8" w:rsidRPr="0067561F">
        <w:rPr>
          <w:color w:val="auto"/>
        </w:rPr>
        <w:t>l’</w:t>
      </w:r>
      <w:r w:rsidR="00B43A83" w:rsidRPr="0067561F">
        <w:rPr>
          <w:color w:val="auto"/>
        </w:rPr>
        <w:t>Umbria</w:t>
      </w:r>
      <w:r w:rsidR="003874D0" w:rsidRPr="0067561F">
        <w:rPr>
          <w:color w:val="auto"/>
        </w:rPr>
        <w:t xml:space="preserve"> che </w:t>
      </w:r>
      <w:r w:rsidR="004D0641" w:rsidRPr="0067561F">
        <w:rPr>
          <w:color w:val="auto"/>
        </w:rPr>
        <w:t>raggiunge</w:t>
      </w:r>
      <w:r w:rsidR="00A16713" w:rsidRPr="0067561F">
        <w:rPr>
          <w:color w:val="auto"/>
        </w:rPr>
        <w:t xml:space="preserve"> </w:t>
      </w:r>
      <w:r w:rsidR="004D0641" w:rsidRPr="0067561F">
        <w:rPr>
          <w:color w:val="auto"/>
        </w:rPr>
        <w:t xml:space="preserve">il </w:t>
      </w:r>
      <w:r w:rsidR="0067561F" w:rsidRPr="0067561F">
        <w:rPr>
          <w:color w:val="auto"/>
        </w:rPr>
        <w:t>36</w:t>
      </w:r>
      <w:r w:rsidR="00C26FE5" w:rsidRPr="0067561F">
        <w:rPr>
          <w:color w:val="auto"/>
        </w:rPr>
        <w:t>,</w:t>
      </w:r>
      <w:r w:rsidR="0067561F" w:rsidRPr="0067561F">
        <w:rPr>
          <w:color w:val="auto"/>
        </w:rPr>
        <w:t>9</w:t>
      </w:r>
      <w:r w:rsidR="00913182" w:rsidRPr="0067561F">
        <w:rPr>
          <w:color w:val="auto"/>
        </w:rPr>
        <w:t>%</w:t>
      </w:r>
      <w:r w:rsidR="00E70AB7">
        <w:rPr>
          <w:color w:val="auto"/>
        </w:rPr>
        <w:t>, mentre solo</w:t>
      </w:r>
      <w:r w:rsidR="005354A9" w:rsidRPr="0067561F">
        <w:rPr>
          <w:color w:val="auto"/>
        </w:rPr>
        <w:t xml:space="preserve"> </w:t>
      </w:r>
      <w:r w:rsidR="00380531" w:rsidRPr="0067561F">
        <w:rPr>
          <w:color w:val="auto"/>
        </w:rPr>
        <w:t xml:space="preserve">la </w:t>
      </w:r>
      <w:r w:rsidR="00C26FE5" w:rsidRPr="0067561F">
        <w:rPr>
          <w:color w:val="auto"/>
        </w:rPr>
        <w:t xml:space="preserve">Sardegna supera </w:t>
      </w:r>
      <w:r w:rsidR="00341691" w:rsidRPr="0067561F">
        <w:rPr>
          <w:color w:val="auto"/>
        </w:rPr>
        <w:t xml:space="preserve">la soglia del 10% in </w:t>
      </w:r>
      <w:r w:rsidR="007F1FA7" w:rsidRPr="0067561F">
        <w:rPr>
          <w:color w:val="auto"/>
        </w:rPr>
        <w:t xml:space="preserve">terapia intensiva </w:t>
      </w:r>
      <w:r w:rsidR="004B6DC2" w:rsidRPr="0067561F">
        <w:rPr>
          <w:color w:val="auto"/>
        </w:rPr>
        <w:t>(</w:t>
      </w:r>
      <w:r w:rsidR="004B6DC2" w:rsidRPr="0067561F">
        <w:rPr>
          <w:color w:val="auto"/>
          <w:highlight w:val="yellow"/>
        </w:rPr>
        <w:t xml:space="preserve">figura </w:t>
      </w:r>
      <w:r w:rsidR="008751B7" w:rsidRPr="0067561F">
        <w:rPr>
          <w:color w:val="auto"/>
          <w:highlight w:val="yellow"/>
        </w:rPr>
        <w:t>8</w:t>
      </w:r>
      <w:r w:rsidR="004B6DC2" w:rsidRPr="0067561F">
        <w:rPr>
          <w:color w:val="auto"/>
        </w:rPr>
        <w:t>)</w:t>
      </w:r>
      <w:r w:rsidR="00341691" w:rsidRPr="0067561F">
        <w:rPr>
          <w:color w:val="auto"/>
        </w:rPr>
        <w:t>.</w:t>
      </w:r>
      <w:r w:rsidR="008D2843" w:rsidRPr="0067561F">
        <w:rPr>
          <w:color w:val="auto"/>
        </w:rPr>
        <w:t xml:space="preserve"> </w:t>
      </w:r>
      <w:r w:rsidR="00BD67DE" w:rsidRPr="0067561F">
        <w:rPr>
          <w:color w:val="auto"/>
        </w:rPr>
        <w:t>«</w:t>
      </w:r>
      <w:r w:rsidR="00D1612B" w:rsidRPr="0067561F">
        <w:rPr>
          <w:color w:val="auto"/>
        </w:rPr>
        <w:t xml:space="preserve">Il numero degli </w:t>
      </w:r>
      <w:r w:rsidR="00D1612B" w:rsidRPr="00557ACD">
        <w:rPr>
          <w:color w:val="auto"/>
        </w:rPr>
        <w:t xml:space="preserve">ingressi giornalieri in terapia intensiva – </w:t>
      </w:r>
      <w:r w:rsidR="00451468" w:rsidRPr="00557ACD">
        <w:rPr>
          <w:color w:val="auto"/>
        </w:rPr>
        <w:t>puntualizza Mosti</w:t>
      </w:r>
      <w:r w:rsidR="00931C11" w:rsidRPr="00557ACD">
        <w:rPr>
          <w:color w:val="auto"/>
        </w:rPr>
        <w:t xml:space="preserve"> </w:t>
      </w:r>
      <w:r w:rsidR="00451468" w:rsidRPr="00557ACD">
        <w:rPr>
          <w:color w:val="auto"/>
        </w:rPr>
        <w:t>–</w:t>
      </w:r>
      <w:r w:rsidR="00D1612B" w:rsidRPr="00557ACD">
        <w:rPr>
          <w:color w:val="auto"/>
        </w:rPr>
        <w:t xml:space="preserve"> </w:t>
      </w:r>
      <w:r w:rsidR="004D0641" w:rsidRPr="00557ACD">
        <w:rPr>
          <w:color w:val="auto"/>
        </w:rPr>
        <w:t xml:space="preserve">è in </w:t>
      </w:r>
      <w:r w:rsidR="00557ACD">
        <w:rPr>
          <w:color w:val="auto"/>
        </w:rPr>
        <w:t>ulteriore</w:t>
      </w:r>
      <w:r w:rsidR="004D0641" w:rsidRPr="00557ACD">
        <w:rPr>
          <w:color w:val="auto"/>
        </w:rPr>
        <w:t xml:space="preserve"> calo</w:t>
      </w:r>
      <w:r w:rsidR="007F1FA7" w:rsidRPr="00557ACD">
        <w:rPr>
          <w:color w:val="auto"/>
        </w:rPr>
        <w:t>:</w:t>
      </w:r>
      <w:r w:rsidR="00A90702" w:rsidRPr="00557ACD">
        <w:rPr>
          <w:color w:val="auto"/>
        </w:rPr>
        <w:t xml:space="preserve"> </w:t>
      </w:r>
      <w:r w:rsidR="00443A0B" w:rsidRPr="00557ACD">
        <w:rPr>
          <w:color w:val="auto"/>
        </w:rPr>
        <w:t xml:space="preserve">la </w:t>
      </w:r>
      <w:r w:rsidR="00BD67DE" w:rsidRPr="00557ACD">
        <w:rPr>
          <w:color w:val="auto"/>
        </w:rPr>
        <w:t xml:space="preserve">media mobile a 7 giorni </w:t>
      </w:r>
      <w:r w:rsidR="00913182" w:rsidRPr="00557ACD">
        <w:rPr>
          <w:color w:val="auto"/>
        </w:rPr>
        <w:t>si attesta</w:t>
      </w:r>
      <w:r w:rsidR="00615C81" w:rsidRPr="00557ACD">
        <w:rPr>
          <w:color w:val="auto"/>
        </w:rPr>
        <w:t xml:space="preserve"> </w:t>
      </w:r>
      <w:r w:rsidR="004D49EC" w:rsidRPr="00557ACD">
        <w:rPr>
          <w:color w:val="auto"/>
        </w:rPr>
        <w:t>a</w:t>
      </w:r>
      <w:r w:rsidR="00F41F65" w:rsidRPr="00557ACD">
        <w:rPr>
          <w:color w:val="auto"/>
        </w:rPr>
        <w:t xml:space="preserve"> </w:t>
      </w:r>
      <w:r w:rsidR="00557ACD">
        <w:rPr>
          <w:color w:val="auto"/>
        </w:rPr>
        <w:t>39</w:t>
      </w:r>
      <w:r w:rsidR="004D49EC" w:rsidRPr="00557ACD">
        <w:rPr>
          <w:color w:val="auto"/>
        </w:rPr>
        <w:t xml:space="preserve"> </w:t>
      </w:r>
      <w:r w:rsidR="00547F28" w:rsidRPr="00557ACD">
        <w:rPr>
          <w:color w:val="auto"/>
        </w:rPr>
        <w:t xml:space="preserve">ingressi/die </w:t>
      </w:r>
      <w:r w:rsidR="004D49EC" w:rsidRPr="00557ACD">
        <w:rPr>
          <w:color w:val="auto"/>
        </w:rPr>
        <w:t>ris</w:t>
      </w:r>
      <w:r w:rsidR="00127096" w:rsidRPr="00557ACD">
        <w:rPr>
          <w:color w:val="auto"/>
        </w:rPr>
        <w:t xml:space="preserve">petto </w:t>
      </w:r>
      <w:r w:rsidR="00C34550" w:rsidRPr="00557ACD">
        <w:rPr>
          <w:color w:val="auto"/>
        </w:rPr>
        <w:t xml:space="preserve">ai </w:t>
      </w:r>
      <w:r w:rsidR="00557ACD">
        <w:rPr>
          <w:color w:val="auto"/>
        </w:rPr>
        <w:t>47</w:t>
      </w:r>
      <w:r w:rsidR="00696979" w:rsidRPr="00557ACD">
        <w:rPr>
          <w:color w:val="auto"/>
        </w:rPr>
        <w:t xml:space="preserve"> </w:t>
      </w:r>
      <w:r w:rsidR="004D49EC" w:rsidRPr="00557ACD">
        <w:rPr>
          <w:color w:val="auto"/>
        </w:rPr>
        <w:t>della settimana precedente</w:t>
      </w:r>
      <w:r w:rsidR="00D42AAE" w:rsidRPr="00557ACD">
        <w:rPr>
          <w:color w:val="auto"/>
        </w:rPr>
        <w:t>»</w:t>
      </w:r>
      <w:r w:rsidR="00BD67DE" w:rsidRPr="00557ACD">
        <w:rPr>
          <w:color w:val="auto"/>
        </w:rPr>
        <w:t xml:space="preserve"> (</w:t>
      </w:r>
      <w:r w:rsidR="00BD67DE" w:rsidRPr="00557ACD">
        <w:rPr>
          <w:color w:val="auto"/>
          <w:highlight w:val="yellow"/>
        </w:rPr>
        <w:t>figura</w:t>
      </w:r>
      <w:r w:rsidR="00C91686" w:rsidRPr="00557ACD">
        <w:rPr>
          <w:color w:val="auto"/>
          <w:highlight w:val="yellow"/>
        </w:rPr>
        <w:t xml:space="preserve"> </w:t>
      </w:r>
      <w:r w:rsidR="008751B7" w:rsidRPr="00557ACD">
        <w:rPr>
          <w:color w:val="auto"/>
          <w:highlight w:val="yellow"/>
        </w:rPr>
        <w:t>9</w:t>
      </w:r>
      <w:r w:rsidR="00BD67DE" w:rsidRPr="00557ACD">
        <w:rPr>
          <w:color w:val="auto"/>
        </w:rPr>
        <w:t>).</w:t>
      </w:r>
      <w:r w:rsidR="00927630" w:rsidRPr="00557ACD">
        <w:rPr>
          <w:color w:val="auto"/>
        </w:rPr>
        <w:t xml:space="preserve"> </w:t>
      </w:r>
    </w:p>
    <w:p w:rsidR="00670CB5" w:rsidRPr="00553106" w:rsidRDefault="00483722" w:rsidP="00927630">
      <w:pPr>
        <w:jc w:val="both"/>
        <w:rPr>
          <w:color w:val="auto"/>
        </w:rPr>
      </w:pPr>
      <w:r w:rsidRPr="00553106">
        <w:rPr>
          <w:b/>
          <w:color w:val="auto"/>
        </w:rPr>
        <w:t xml:space="preserve">Decessi. </w:t>
      </w:r>
      <w:r w:rsidR="00553106" w:rsidRPr="00553106">
        <w:rPr>
          <w:color w:val="auto"/>
        </w:rPr>
        <w:t>Continua</w:t>
      </w:r>
      <w:r w:rsidR="00432864" w:rsidRPr="00553106">
        <w:rPr>
          <w:color w:val="auto"/>
        </w:rPr>
        <w:t xml:space="preserve"> a scendere</w:t>
      </w:r>
      <w:r w:rsidR="00B43A83" w:rsidRPr="00553106">
        <w:rPr>
          <w:color w:val="auto"/>
        </w:rPr>
        <w:t xml:space="preserve"> il numero </w:t>
      </w:r>
      <w:r w:rsidR="00B243A0" w:rsidRPr="00553106">
        <w:rPr>
          <w:color w:val="auto"/>
        </w:rPr>
        <w:t>dei decessi</w:t>
      </w:r>
      <w:r w:rsidR="00C26FE5" w:rsidRPr="00553106">
        <w:rPr>
          <w:color w:val="auto"/>
        </w:rPr>
        <w:t xml:space="preserve">: </w:t>
      </w:r>
      <w:r w:rsidR="00553106" w:rsidRPr="00553106">
        <w:rPr>
          <w:color w:val="auto"/>
        </w:rPr>
        <w:t>861</w:t>
      </w:r>
      <w:r w:rsidR="00C26FE5" w:rsidRPr="00553106">
        <w:rPr>
          <w:color w:val="auto"/>
        </w:rPr>
        <w:t xml:space="preserve"> negli ultimi 7 giorni (di cui </w:t>
      </w:r>
      <w:r w:rsidR="00553106" w:rsidRPr="00553106">
        <w:rPr>
          <w:color w:val="auto"/>
        </w:rPr>
        <w:t>55</w:t>
      </w:r>
      <w:r w:rsidR="00C26FE5" w:rsidRPr="00553106">
        <w:rPr>
          <w:color w:val="auto"/>
        </w:rPr>
        <w:t xml:space="preserve"> riferiti a periodi precedenti), con una media di </w:t>
      </w:r>
      <w:r w:rsidR="00432864" w:rsidRPr="00553106">
        <w:rPr>
          <w:color w:val="auto"/>
        </w:rPr>
        <w:t>1</w:t>
      </w:r>
      <w:r w:rsidR="00553106" w:rsidRPr="00553106">
        <w:rPr>
          <w:color w:val="auto"/>
        </w:rPr>
        <w:t>2</w:t>
      </w:r>
      <w:r w:rsidR="00432864" w:rsidRPr="00553106">
        <w:rPr>
          <w:color w:val="auto"/>
        </w:rPr>
        <w:t>3</w:t>
      </w:r>
      <w:r w:rsidR="00C26FE5" w:rsidRPr="00553106">
        <w:rPr>
          <w:color w:val="auto"/>
        </w:rPr>
        <w:t xml:space="preserve"> al giorno rispetto ai </w:t>
      </w:r>
      <w:r w:rsidR="00553106" w:rsidRPr="00553106">
        <w:rPr>
          <w:color w:val="auto"/>
        </w:rPr>
        <w:t>133</w:t>
      </w:r>
      <w:r w:rsidR="00C26FE5" w:rsidRPr="00553106">
        <w:rPr>
          <w:color w:val="auto"/>
        </w:rPr>
        <w:t xml:space="preserve"> della settimana precedente.</w:t>
      </w:r>
    </w:p>
    <w:p w:rsidR="00B127CC" w:rsidRPr="00B127CC" w:rsidRDefault="00B127CC" w:rsidP="001B0254">
      <w:pPr>
        <w:jc w:val="both"/>
        <w:rPr>
          <w:color w:val="auto"/>
        </w:rPr>
      </w:pPr>
      <w:r w:rsidRPr="00B127CC">
        <w:rPr>
          <w:b/>
          <w:color w:val="auto"/>
        </w:rPr>
        <w:t>Vaccini: somministrazioni.</w:t>
      </w:r>
      <w:r w:rsidRPr="00B127CC">
        <w:rPr>
          <w:color w:val="auto"/>
        </w:rPr>
        <w:t xml:space="preserve"> Al 20 aprile (aggiornamento ore 06.14) l</w:t>
      </w:r>
      <w:r>
        <w:rPr>
          <w:color w:val="auto"/>
        </w:rPr>
        <w:t>’</w:t>
      </w:r>
      <w:r w:rsidRPr="00B127CC">
        <w:rPr>
          <w:color w:val="auto"/>
        </w:rPr>
        <w:t>85,6% della popolazione (n. 50.749.866) ha ricevuto almeno una dose di vaccino (+6.926 rispetto alla settimana precedente) e l</w:t>
      </w:r>
      <w:r>
        <w:rPr>
          <w:color w:val="auto"/>
        </w:rPr>
        <w:t>’</w:t>
      </w:r>
      <w:r w:rsidRPr="00B127CC">
        <w:rPr>
          <w:color w:val="auto"/>
        </w:rPr>
        <w:t>84,1% (n. 49.828.463) ha completato il ciclo vaccinale (+19.593 rispetto alla sett</w:t>
      </w:r>
      <w:r>
        <w:rPr>
          <w:color w:val="auto"/>
        </w:rPr>
        <w:t>imana precedente) (</w:t>
      </w:r>
      <w:r w:rsidRPr="00B127CC">
        <w:rPr>
          <w:color w:val="auto"/>
          <w:highlight w:val="yellow"/>
        </w:rPr>
        <w:t>figura 10</w:t>
      </w:r>
      <w:r>
        <w:rPr>
          <w:color w:val="auto"/>
        </w:rPr>
        <w:t>).</w:t>
      </w:r>
    </w:p>
    <w:p w:rsidR="00B127CC" w:rsidRPr="00B127CC" w:rsidRDefault="00B127CC" w:rsidP="00124C08">
      <w:pPr>
        <w:spacing w:line="276" w:lineRule="auto"/>
        <w:jc w:val="both"/>
        <w:rPr>
          <w:rFonts w:cs="Calibri"/>
          <w:color w:val="auto"/>
        </w:rPr>
      </w:pPr>
      <w:r w:rsidRPr="00B127CC">
        <w:rPr>
          <w:rFonts w:cs="Calibri"/>
          <w:b/>
          <w:color w:val="auto"/>
        </w:rPr>
        <w:t xml:space="preserve">Vaccini: coperture. </w:t>
      </w:r>
      <w:r w:rsidRPr="00B127CC">
        <w:rPr>
          <w:rFonts w:cs="Calibri"/>
          <w:color w:val="auto"/>
        </w:rPr>
        <w:t xml:space="preserve">Le coperture con almeno una dose di vaccino sono molto variabili nelle diverse fasce d’età (dal 99,4% della fascia </w:t>
      </w:r>
      <w:r>
        <w:rPr>
          <w:rFonts w:cs="Calibri"/>
          <w:color w:val="auto"/>
        </w:rPr>
        <w:t>o</w:t>
      </w:r>
      <w:r w:rsidRPr="00B127CC">
        <w:rPr>
          <w:rFonts w:cs="Calibri"/>
          <w:color w:val="auto"/>
        </w:rPr>
        <w:t>ver</w:t>
      </w:r>
      <w:r>
        <w:rPr>
          <w:rFonts w:cs="Calibri"/>
          <w:color w:val="auto"/>
        </w:rPr>
        <w:t xml:space="preserve"> </w:t>
      </w:r>
      <w:r w:rsidRPr="00B127CC">
        <w:rPr>
          <w:rFonts w:cs="Calibri"/>
          <w:color w:val="auto"/>
        </w:rPr>
        <w:t>80 al 37,6% della fascia 5-11), così come sul fronte dei richiami, che negli over 80 hanno raggiunto l’89,1%, nella fascia 70-79 l’88% e in quella 60-69 anni l’85% (</w:t>
      </w:r>
      <w:r w:rsidRPr="00B127CC">
        <w:rPr>
          <w:rFonts w:cs="Calibri"/>
          <w:color w:val="auto"/>
          <w:highlight w:val="yellow"/>
        </w:rPr>
        <w:t>figura 11</w:t>
      </w:r>
      <w:r w:rsidRPr="00B127CC">
        <w:rPr>
          <w:rFonts w:cs="Calibri"/>
          <w:color w:val="auto"/>
        </w:rPr>
        <w:t>).</w:t>
      </w:r>
    </w:p>
    <w:p w:rsidR="00574EAE" w:rsidRPr="00B127CC" w:rsidRDefault="00B672EA" w:rsidP="00124C08">
      <w:pPr>
        <w:spacing w:line="276" w:lineRule="auto"/>
        <w:jc w:val="both"/>
        <w:rPr>
          <w:rFonts w:cs="Calibri"/>
          <w:b/>
          <w:color w:val="auto"/>
        </w:rPr>
      </w:pPr>
      <w:r w:rsidRPr="00B127CC">
        <w:rPr>
          <w:b/>
          <w:color w:val="auto"/>
        </w:rPr>
        <w:t xml:space="preserve">Vaccini: </w:t>
      </w:r>
      <w:r w:rsidR="003E293F" w:rsidRPr="00B127CC">
        <w:rPr>
          <w:b/>
          <w:color w:val="auto"/>
        </w:rPr>
        <w:t>nuovi vaccinati</w:t>
      </w:r>
      <w:r w:rsidRPr="00B127CC">
        <w:rPr>
          <w:b/>
          <w:color w:val="auto"/>
        </w:rPr>
        <w:t>.</w:t>
      </w:r>
      <w:r w:rsidRPr="00B127CC">
        <w:rPr>
          <w:color w:val="auto"/>
        </w:rPr>
        <w:t xml:space="preserve"> </w:t>
      </w:r>
      <w:r w:rsidR="00554F5B" w:rsidRPr="00B127CC">
        <w:rPr>
          <w:color w:val="auto"/>
        </w:rPr>
        <w:t>N</w:t>
      </w:r>
      <w:r w:rsidR="00F75D8A" w:rsidRPr="00B127CC">
        <w:rPr>
          <w:color w:val="auto"/>
        </w:rPr>
        <w:t>el</w:t>
      </w:r>
      <w:r w:rsidR="00554F5B" w:rsidRPr="00B127CC">
        <w:rPr>
          <w:color w:val="auto"/>
        </w:rPr>
        <w:t>la</w:t>
      </w:r>
      <w:r w:rsidR="00F75D8A" w:rsidRPr="00B127CC">
        <w:rPr>
          <w:color w:val="auto"/>
        </w:rPr>
        <w:t xml:space="preserve"> </w:t>
      </w:r>
      <w:r w:rsidR="00554F5B" w:rsidRPr="00B127CC">
        <w:rPr>
          <w:color w:val="auto"/>
        </w:rPr>
        <w:t xml:space="preserve">settimana </w:t>
      </w:r>
      <w:r w:rsidR="00B127CC" w:rsidRPr="00B127CC">
        <w:rPr>
          <w:color w:val="auto"/>
        </w:rPr>
        <w:t>13</w:t>
      </w:r>
      <w:r w:rsidR="00C148D7" w:rsidRPr="00B127CC">
        <w:rPr>
          <w:color w:val="auto"/>
        </w:rPr>
        <w:t>-</w:t>
      </w:r>
      <w:r w:rsidR="00B127CC" w:rsidRPr="00B127CC">
        <w:rPr>
          <w:color w:val="auto"/>
        </w:rPr>
        <w:t>19</w:t>
      </w:r>
      <w:r w:rsidR="00403BEB" w:rsidRPr="00B127CC">
        <w:rPr>
          <w:color w:val="auto"/>
        </w:rPr>
        <w:t xml:space="preserve"> aprile</w:t>
      </w:r>
      <w:r w:rsidR="00F75D8A" w:rsidRPr="00B127CC">
        <w:rPr>
          <w:color w:val="auto"/>
        </w:rPr>
        <w:t xml:space="preserve"> </w:t>
      </w:r>
      <w:r w:rsidR="004D0641" w:rsidRPr="00B127CC">
        <w:rPr>
          <w:color w:val="auto"/>
        </w:rPr>
        <w:t xml:space="preserve">calano ancora </w:t>
      </w:r>
      <w:r w:rsidR="000C22FE" w:rsidRPr="00B127CC">
        <w:rPr>
          <w:color w:val="auto"/>
        </w:rPr>
        <w:t xml:space="preserve">i nuovi vaccinati: </w:t>
      </w:r>
      <w:r w:rsidR="00B127CC" w:rsidRPr="00B127CC">
        <w:rPr>
          <w:color w:val="auto"/>
        </w:rPr>
        <w:t>6.092</w:t>
      </w:r>
      <w:r w:rsidR="00BA1894" w:rsidRPr="00B127CC">
        <w:rPr>
          <w:color w:val="auto"/>
        </w:rPr>
        <w:t xml:space="preserve"> </w:t>
      </w:r>
      <w:r w:rsidR="008574A0" w:rsidRPr="00B127CC">
        <w:rPr>
          <w:color w:val="auto"/>
        </w:rPr>
        <w:t>rispetto a</w:t>
      </w:r>
      <w:r w:rsidR="00B127CC" w:rsidRPr="00B127CC">
        <w:rPr>
          <w:color w:val="auto"/>
        </w:rPr>
        <w:t>gl</w:t>
      </w:r>
      <w:r w:rsidR="008574A0" w:rsidRPr="00B127CC">
        <w:rPr>
          <w:color w:val="auto"/>
        </w:rPr>
        <w:t xml:space="preserve">i </w:t>
      </w:r>
      <w:r w:rsidR="00B127CC" w:rsidRPr="00B127CC">
        <w:rPr>
          <w:color w:val="auto"/>
        </w:rPr>
        <w:t>8.601</w:t>
      </w:r>
      <w:r w:rsidR="00BA1894" w:rsidRPr="00B127CC">
        <w:rPr>
          <w:color w:val="auto"/>
        </w:rPr>
        <w:t xml:space="preserve"> </w:t>
      </w:r>
      <w:r w:rsidR="00CB3BD4" w:rsidRPr="00B127CC">
        <w:rPr>
          <w:color w:val="auto"/>
        </w:rPr>
        <w:t>della settimana precedente</w:t>
      </w:r>
      <w:r w:rsidR="009D0C36" w:rsidRPr="00B127CC">
        <w:rPr>
          <w:color w:val="auto"/>
        </w:rPr>
        <w:t xml:space="preserve"> (-</w:t>
      </w:r>
      <w:r w:rsidR="00B127CC" w:rsidRPr="00B127CC">
        <w:rPr>
          <w:color w:val="auto"/>
        </w:rPr>
        <w:t>29</w:t>
      </w:r>
      <w:r w:rsidR="00403BEB" w:rsidRPr="00B127CC">
        <w:rPr>
          <w:color w:val="auto"/>
        </w:rPr>
        <w:t>,</w:t>
      </w:r>
      <w:r w:rsidR="00B127CC" w:rsidRPr="00B127CC">
        <w:rPr>
          <w:color w:val="auto"/>
        </w:rPr>
        <w:t>2</w:t>
      </w:r>
      <w:r w:rsidR="009D0C36" w:rsidRPr="00B127CC">
        <w:rPr>
          <w:color w:val="auto"/>
        </w:rPr>
        <w:t>%)</w:t>
      </w:r>
      <w:r w:rsidR="00470CE3" w:rsidRPr="00B127CC">
        <w:rPr>
          <w:color w:val="auto"/>
        </w:rPr>
        <w:t xml:space="preserve">. </w:t>
      </w:r>
      <w:r w:rsidR="008927DE" w:rsidRPr="00B127CC">
        <w:rPr>
          <w:color w:val="auto"/>
        </w:rPr>
        <w:t xml:space="preserve">Di questi </w:t>
      </w:r>
      <w:r w:rsidR="007C7E75" w:rsidRPr="00B127CC">
        <w:rPr>
          <w:color w:val="auto"/>
        </w:rPr>
        <w:t xml:space="preserve">il </w:t>
      </w:r>
      <w:r w:rsidR="00C148D7" w:rsidRPr="00B127CC">
        <w:rPr>
          <w:color w:val="auto"/>
        </w:rPr>
        <w:t>2</w:t>
      </w:r>
      <w:r w:rsidR="00B127CC" w:rsidRPr="00B127CC">
        <w:rPr>
          <w:color w:val="auto"/>
        </w:rPr>
        <w:t>4</w:t>
      </w:r>
      <w:r w:rsidR="00C148D7" w:rsidRPr="00B127CC">
        <w:rPr>
          <w:color w:val="auto"/>
        </w:rPr>
        <w:t>,2</w:t>
      </w:r>
      <w:r w:rsidR="007C7E75" w:rsidRPr="00B127CC">
        <w:rPr>
          <w:color w:val="auto"/>
        </w:rPr>
        <w:t>%</w:t>
      </w:r>
      <w:r w:rsidR="008927DE" w:rsidRPr="00B127CC">
        <w:rPr>
          <w:color w:val="auto"/>
        </w:rPr>
        <w:t xml:space="preserve"> è </w:t>
      </w:r>
      <w:r w:rsidR="00CD534A" w:rsidRPr="00B127CC">
        <w:rPr>
          <w:color w:val="auto"/>
        </w:rPr>
        <w:t xml:space="preserve">rappresentato </w:t>
      </w:r>
      <w:r w:rsidR="008927DE" w:rsidRPr="00B127CC">
        <w:rPr>
          <w:color w:val="auto"/>
        </w:rPr>
        <w:t xml:space="preserve">dalla </w:t>
      </w:r>
      <w:r w:rsidR="00E129D4" w:rsidRPr="00B127CC">
        <w:rPr>
          <w:color w:val="auto"/>
        </w:rPr>
        <w:t>fascia 5-11</w:t>
      </w:r>
      <w:r w:rsidR="0068557B" w:rsidRPr="00B127CC">
        <w:rPr>
          <w:color w:val="auto"/>
        </w:rPr>
        <w:t xml:space="preserve">: </w:t>
      </w:r>
      <w:r w:rsidR="00B127CC" w:rsidRPr="00B127CC">
        <w:rPr>
          <w:color w:val="auto"/>
        </w:rPr>
        <w:t>1.474</w:t>
      </w:r>
      <w:r w:rsidR="00C148D7" w:rsidRPr="00B127CC">
        <w:rPr>
          <w:color w:val="auto"/>
        </w:rPr>
        <w:t>,</w:t>
      </w:r>
      <w:r w:rsidR="00AD46ED" w:rsidRPr="00B127CC">
        <w:rPr>
          <w:color w:val="auto"/>
        </w:rPr>
        <w:t xml:space="preserve"> </w:t>
      </w:r>
      <w:r w:rsidR="00FF200B" w:rsidRPr="00B127CC">
        <w:rPr>
          <w:color w:val="auto"/>
        </w:rPr>
        <w:t xml:space="preserve">con </w:t>
      </w:r>
      <w:r w:rsidR="00F16AC3" w:rsidRPr="00B127CC">
        <w:rPr>
          <w:color w:val="auto"/>
        </w:rPr>
        <w:t>una riduzione</w:t>
      </w:r>
      <w:r w:rsidR="00FF200B" w:rsidRPr="00B127CC">
        <w:rPr>
          <w:color w:val="auto"/>
        </w:rPr>
        <w:t xml:space="preserve"> del</w:t>
      </w:r>
      <w:r w:rsidR="00403BEB" w:rsidRPr="00B127CC">
        <w:rPr>
          <w:color w:val="auto"/>
        </w:rPr>
        <w:t xml:space="preserve"> </w:t>
      </w:r>
      <w:r w:rsidR="00B127CC" w:rsidRPr="00B127CC">
        <w:rPr>
          <w:color w:val="auto"/>
        </w:rPr>
        <w:t>34</w:t>
      </w:r>
      <w:r w:rsidR="00C148D7" w:rsidRPr="00B127CC">
        <w:rPr>
          <w:color w:val="auto"/>
        </w:rPr>
        <w:t>,</w:t>
      </w:r>
      <w:r w:rsidR="00B127CC" w:rsidRPr="00B127CC">
        <w:rPr>
          <w:color w:val="auto"/>
        </w:rPr>
        <w:t>2</w:t>
      </w:r>
      <w:r w:rsidR="00FF200B" w:rsidRPr="00B127CC">
        <w:rPr>
          <w:color w:val="auto"/>
        </w:rPr>
        <w:t>%</w:t>
      </w:r>
      <w:r w:rsidR="007C7E75" w:rsidRPr="00B127CC">
        <w:rPr>
          <w:color w:val="auto"/>
        </w:rPr>
        <w:t xml:space="preserve"> rispetto alla settimana precedente</w:t>
      </w:r>
      <w:r w:rsidR="007F4EC6" w:rsidRPr="00B127CC">
        <w:rPr>
          <w:color w:val="auto"/>
        </w:rPr>
        <w:t>.</w:t>
      </w:r>
      <w:r w:rsidR="00F16AC3" w:rsidRPr="00B127CC">
        <w:rPr>
          <w:color w:val="auto"/>
        </w:rPr>
        <w:t xml:space="preserve"> </w:t>
      </w:r>
      <w:r w:rsidR="00B127CC" w:rsidRPr="00B127CC">
        <w:rPr>
          <w:color w:val="auto"/>
        </w:rPr>
        <w:t xml:space="preserve">Dopo la lieve </w:t>
      </w:r>
      <w:r w:rsidR="00A57927" w:rsidRPr="00B127CC">
        <w:rPr>
          <w:color w:val="auto"/>
        </w:rPr>
        <w:t>risalita</w:t>
      </w:r>
      <w:r w:rsidR="00B243A0" w:rsidRPr="00B127CC">
        <w:rPr>
          <w:color w:val="auto"/>
        </w:rPr>
        <w:t xml:space="preserve"> </w:t>
      </w:r>
      <w:r w:rsidR="00B127CC" w:rsidRPr="00B127CC">
        <w:rPr>
          <w:color w:val="auto"/>
        </w:rPr>
        <w:t xml:space="preserve">della scorsa settimana cala nuovamente </w:t>
      </w:r>
      <w:r w:rsidR="00B243A0" w:rsidRPr="00B127CC">
        <w:rPr>
          <w:color w:val="auto"/>
        </w:rPr>
        <w:t>t</w:t>
      </w:r>
      <w:r w:rsidR="00880B59" w:rsidRPr="00B127CC">
        <w:rPr>
          <w:color w:val="auto"/>
        </w:rPr>
        <w:t xml:space="preserve">ra </w:t>
      </w:r>
      <w:r w:rsidR="00F3347A" w:rsidRPr="00B127CC">
        <w:rPr>
          <w:color w:val="auto"/>
        </w:rPr>
        <w:t>gli over 50</w:t>
      </w:r>
      <w:r w:rsidR="0002125E" w:rsidRPr="00B127CC">
        <w:rPr>
          <w:color w:val="auto"/>
        </w:rPr>
        <w:t>, più a rischio di malattia grave,</w:t>
      </w:r>
      <w:r w:rsidR="00F3347A" w:rsidRPr="00B127CC">
        <w:rPr>
          <w:color w:val="auto"/>
        </w:rPr>
        <w:t xml:space="preserve"> </w:t>
      </w:r>
      <w:r w:rsidR="00801454" w:rsidRPr="00B127CC">
        <w:rPr>
          <w:color w:val="auto"/>
        </w:rPr>
        <w:t>i</w:t>
      </w:r>
      <w:r w:rsidR="0084641B" w:rsidRPr="00B127CC">
        <w:rPr>
          <w:color w:val="auto"/>
        </w:rPr>
        <w:t>l numero di</w:t>
      </w:r>
      <w:r w:rsidR="00801454" w:rsidRPr="00B127CC">
        <w:rPr>
          <w:color w:val="auto"/>
        </w:rPr>
        <w:t xml:space="preserve"> nuovi vaccinati</w:t>
      </w:r>
      <w:r w:rsidR="005A7316" w:rsidRPr="00B127CC">
        <w:rPr>
          <w:color w:val="auto"/>
        </w:rPr>
        <w:t xml:space="preserve"> che si attesta</w:t>
      </w:r>
      <w:r w:rsidR="00F3347A" w:rsidRPr="00B127CC">
        <w:rPr>
          <w:color w:val="auto"/>
        </w:rPr>
        <w:t xml:space="preserve"> a quota </w:t>
      </w:r>
      <w:r w:rsidR="00B127CC" w:rsidRPr="00B127CC">
        <w:rPr>
          <w:color w:val="auto"/>
        </w:rPr>
        <w:t>1</w:t>
      </w:r>
      <w:r w:rsidR="00A57927" w:rsidRPr="00B127CC">
        <w:rPr>
          <w:color w:val="auto"/>
        </w:rPr>
        <w:t>.</w:t>
      </w:r>
      <w:r w:rsidR="00B127CC" w:rsidRPr="00B127CC">
        <w:rPr>
          <w:color w:val="auto"/>
        </w:rPr>
        <w:t>917</w:t>
      </w:r>
      <w:r w:rsidR="008F04B0" w:rsidRPr="00B127CC">
        <w:rPr>
          <w:color w:val="auto"/>
        </w:rPr>
        <w:t xml:space="preserve"> </w:t>
      </w:r>
      <w:r w:rsidR="00211923" w:rsidRPr="00B127CC">
        <w:rPr>
          <w:color w:val="auto"/>
        </w:rPr>
        <w:t>(</w:t>
      </w:r>
      <w:r w:rsidR="00B127CC" w:rsidRPr="00B127CC">
        <w:rPr>
          <w:color w:val="auto"/>
        </w:rPr>
        <w:t>-16</w:t>
      </w:r>
      <w:r w:rsidR="00BA1894" w:rsidRPr="00B127CC">
        <w:rPr>
          <w:color w:val="auto"/>
        </w:rPr>
        <w:t>,</w:t>
      </w:r>
      <w:r w:rsidR="00B127CC" w:rsidRPr="00B127CC">
        <w:rPr>
          <w:color w:val="auto"/>
        </w:rPr>
        <w:t>1</w:t>
      </w:r>
      <w:r w:rsidR="00431177" w:rsidRPr="00B127CC">
        <w:rPr>
          <w:color w:val="auto"/>
        </w:rPr>
        <w:t>% ris</w:t>
      </w:r>
      <w:r w:rsidR="007F4EC6" w:rsidRPr="00B127CC">
        <w:rPr>
          <w:color w:val="auto"/>
        </w:rPr>
        <w:t>petto alla settimana precedente</w:t>
      </w:r>
      <w:r w:rsidR="00F20059" w:rsidRPr="00B127CC">
        <w:rPr>
          <w:color w:val="auto"/>
        </w:rPr>
        <w:t>)</w:t>
      </w:r>
      <w:r w:rsidR="00431177" w:rsidRPr="00B127CC">
        <w:rPr>
          <w:color w:val="auto"/>
        </w:rPr>
        <w:t xml:space="preserve"> </w:t>
      </w:r>
      <w:r w:rsidR="008F04B0" w:rsidRPr="00B127CC">
        <w:rPr>
          <w:color w:val="auto"/>
        </w:rPr>
        <w:t>(</w:t>
      </w:r>
      <w:r w:rsidR="003D430C" w:rsidRPr="00B127CC">
        <w:rPr>
          <w:color w:val="auto"/>
          <w:highlight w:val="yellow"/>
        </w:rPr>
        <w:t>figure 1</w:t>
      </w:r>
      <w:r w:rsidR="00CF6A71" w:rsidRPr="00B127CC">
        <w:rPr>
          <w:color w:val="auto"/>
          <w:highlight w:val="yellow"/>
        </w:rPr>
        <w:t>2</w:t>
      </w:r>
      <w:r w:rsidR="00D022C4" w:rsidRPr="00B127CC">
        <w:rPr>
          <w:color w:val="auto"/>
          <w:highlight w:val="yellow"/>
        </w:rPr>
        <w:t xml:space="preserve"> e </w:t>
      </w:r>
      <w:r w:rsidR="008F04B0" w:rsidRPr="00B127CC">
        <w:rPr>
          <w:color w:val="auto"/>
          <w:highlight w:val="yellow"/>
        </w:rPr>
        <w:t>1</w:t>
      </w:r>
      <w:r w:rsidR="00CF6A71" w:rsidRPr="00B127CC">
        <w:rPr>
          <w:color w:val="auto"/>
          <w:highlight w:val="yellow"/>
        </w:rPr>
        <w:t>3</w:t>
      </w:r>
      <w:r w:rsidR="008F04B0" w:rsidRPr="00B127CC">
        <w:rPr>
          <w:color w:val="auto"/>
        </w:rPr>
        <w:t>)</w:t>
      </w:r>
      <w:r w:rsidR="001C167C" w:rsidRPr="00B127CC">
        <w:rPr>
          <w:color w:val="auto"/>
        </w:rPr>
        <w:t>.</w:t>
      </w:r>
    </w:p>
    <w:p w:rsidR="00B667E8" w:rsidRPr="00B127CC" w:rsidRDefault="006C515D" w:rsidP="00072AFD">
      <w:pPr>
        <w:spacing w:line="276" w:lineRule="auto"/>
        <w:jc w:val="both"/>
        <w:rPr>
          <w:rFonts w:eastAsia="Calibri" w:cs="Calibri"/>
          <w:iCs/>
          <w:noProof/>
          <w:color w:val="auto"/>
          <w:u w:color="0563C1"/>
        </w:rPr>
      </w:pPr>
      <w:r w:rsidRPr="00B127CC">
        <w:rPr>
          <w:b/>
          <w:color w:val="auto"/>
        </w:rPr>
        <w:t>Vaccini: persone non vaccinate</w:t>
      </w:r>
      <w:r w:rsidRPr="00B127CC">
        <w:rPr>
          <w:color w:val="auto"/>
        </w:rPr>
        <w:t xml:space="preserve">. Al </w:t>
      </w:r>
      <w:r w:rsidR="00B127CC" w:rsidRPr="00B127CC">
        <w:rPr>
          <w:color w:val="auto"/>
        </w:rPr>
        <w:t>20</w:t>
      </w:r>
      <w:r w:rsidRPr="00B127CC">
        <w:rPr>
          <w:color w:val="auto"/>
        </w:rPr>
        <w:t xml:space="preserve"> </w:t>
      </w:r>
      <w:r w:rsidR="005A7316" w:rsidRPr="00B127CC">
        <w:rPr>
          <w:color w:val="auto"/>
        </w:rPr>
        <w:t xml:space="preserve">aprile </w:t>
      </w:r>
      <w:r w:rsidR="00C14248" w:rsidRPr="00B127CC">
        <w:rPr>
          <w:color w:val="auto"/>
        </w:rPr>
        <w:t xml:space="preserve">sono </w:t>
      </w:r>
      <w:r w:rsidR="00E03BC7" w:rsidRPr="00B127CC">
        <w:rPr>
          <w:color w:val="auto"/>
        </w:rPr>
        <w:t>6,</w:t>
      </w:r>
      <w:r w:rsidR="00B127CC" w:rsidRPr="00B127CC">
        <w:rPr>
          <w:color w:val="auto"/>
        </w:rPr>
        <w:t>8</w:t>
      </w:r>
      <w:r w:rsidR="00E03BC7" w:rsidRPr="00B127CC">
        <w:rPr>
          <w:color w:val="auto"/>
        </w:rPr>
        <w:t>9</w:t>
      </w:r>
      <w:r w:rsidRPr="00B127CC">
        <w:rPr>
          <w:color w:val="auto"/>
        </w:rPr>
        <w:t xml:space="preserve"> milioni</w:t>
      </w:r>
      <w:r w:rsidR="00C23202" w:rsidRPr="00B127CC">
        <w:rPr>
          <w:color w:val="auto"/>
        </w:rPr>
        <w:t xml:space="preserve"> </w:t>
      </w:r>
      <w:r w:rsidR="00242F2C" w:rsidRPr="00B127CC">
        <w:rPr>
          <w:color w:val="auto"/>
        </w:rPr>
        <w:t xml:space="preserve">le </w:t>
      </w:r>
      <w:r w:rsidRPr="00B127CC">
        <w:rPr>
          <w:color w:val="auto"/>
        </w:rPr>
        <w:t>persone</w:t>
      </w:r>
      <w:r w:rsidR="00C14248" w:rsidRPr="00B127CC">
        <w:rPr>
          <w:color w:val="auto"/>
        </w:rPr>
        <w:t xml:space="preserve"> che</w:t>
      </w:r>
      <w:r w:rsidRPr="00B127CC">
        <w:rPr>
          <w:color w:val="auto"/>
        </w:rPr>
        <w:t xml:space="preserve"> non hanno ricevuto nemmeno una dose di vaccino, di cui 2,</w:t>
      </w:r>
      <w:r w:rsidR="00A57927" w:rsidRPr="00B127CC">
        <w:rPr>
          <w:color w:val="auto"/>
        </w:rPr>
        <w:t>6</w:t>
      </w:r>
      <w:r w:rsidR="00B127CC" w:rsidRPr="00B127CC">
        <w:rPr>
          <w:color w:val="auto"/>
        </w:rPr>
        <w:t>9</w:t>
      </w:r>
      <w:r w:rsidR="00FF200B" w:rsidRPr="00B127CC">
        <w:rPr>
          <w:color w:val="auto"/>
        </w:rPr>
        <w:t xml:space="preserve"> </w:t>
      </w:r>
      <w:r w:rsidRPr="00B127CC">
        <w:rPr>
          <w:color w:val="auto"/>
        </w:rPr>
        <w:t xml:space="preserve">milioni </w:t>
      </w:r>
      <w:r w:rsidR="004254C7" w:rsidRPr="00B127CC">
        <w:rPr>
          <w:color w:val="auto"/>
        </w:rPr>
        <w:t xml:space="preserve">temporaneamente </w:t>
      </w:r>
      <w:r w:rsidR="004D0641" w:rsidRPr="00B127CC">
        <w:rPr>
          <w:color w:val="auto"/>
        </w:rPr>
        <w:t xml:space="preserve">protette </w:t>
      </w:r>
      <w:r w:rsidR="004254C7" w:rsidRPr="00B127CC">
        <w:rPr>
          <w:color w:val="auto"/>
        </w:rPr>
        <w:t xml:space="preserve">in quanto </w:t>
      </w:r>
      <w:r w:rsidRPr="00B127CC">
        <w:rPr>
          <w:color w:val="auto"/>
        </w:rPr>
        <w:t>guarite da COVID-19 da meno di 180 giorni</w:t>
      </w:r>
      <w:r w:rsidR="00EF2175" w:rsidRPr="00B127CC">
        <w:rPr>
          <w:color w:val="auto"/>
        </w:rPr>
        <w:t xml:space="preserve"> </w:t>
      </w:r>
      <w:r w:rsidRPr="00B127CC">
        <w:rPr>
          <w:color w:val="auto"/>
        </w:rPr>
        <w:t>(</w:t>
      </w:r>
      <w:r w:rsidRPr="00B127CC">
        <w:rPr>
          <w:color w:val="auto"/>
          <w:highlight w:val="yellow"/>
        </w:rPr>
        <w:t xml:space="preserve">figura </w:t>
      </w:r>
      <w:r w:rsidR="00D022C4" w:rsidRPr="00B127CC">
        <w:rPr>
          <w:color w:val="auto"/>
          <w:highlight w:val="yellow"/>
        </w:rPr>
        <w:t>1</w:t>
      </w:r>
      <w:r w:rsidR="00CF6A71" w:rsidRPr="00B127CC">
        <w:rPr>
          <w:color w:val="auto"/>
          <w:highlight w:val="yellow"/>
        </w:rPr>
        <w:t>4</w:t>
      </w:r>
      <w:r w:rsidR="00C23202" w:rsidRPr="00B127CC">
        <w:rPr>
          <w:color w:val="auto"/>
        </w:rPr>
        <w:t>)</w:t>
      </w:r>
      <w:r w:rsidR="004262FC">
        <w:rPr>
          <w:color w:val="auto"/>
        </w:rPr>
        <w:t xml:space="preserve">: </w:t>
      </w:r>
      <w:r w:rsidR="006B7129" w:rsidRPr="00B127CC">
        <w:rPr>
          <w:color w:val="auto"/>
        </w:rPr>
        <w:t>l</w:t>
      </w:r>
      <w:r w:rsidRPr="00B127CC">
        <w:rPr>
          <w:color w:val="auto"/>
        </w:rPr>
        <w:t>e persone attualmente vaccinabili sono</w:t>
      </w:r>
      <w:r w:rsidR="004262FC">
        <w:rPr>
          <w:color w:val="auto"/>
        </w:rPr>
        <w:t xml:space="preserve"> dunque</w:t>
      </w:r>
      <w:r w:rsidRPr="00B127CC">
        <w:rPr>
          <w:color w:val="auto"/>
        </w:rPr>
        <w:t xml:space="preserve"> circa 4,</w:t>
      </w:r>
      <w:r w:rsidR="00A57927" w:rsidRPr="00B127CC">
        <w:rPr>
          <w:color w:val="auto"/>
        </w:rPr>
        <w:t>2</w:t>
      </w:r>
      <w:r w:rsidR="00FF200B" w:rsidRPr="00B127CC">
        <w:rPr>
          <w:color w:val="auto"/>
        </w:rPr>
        <w:t xml:space="preserve"> </w:t>
      </w:r>
      <w:r w:rsidRPr="00B127CC">
        <w:rPr>
          <w:color w:val="auto"/>
        </w:rPr>
        <w:t>milioni.</w:t>
      </w:r>
    </w:p>
    <w:p w:rsidR="00B127CC" w:rsidRPr="00B127CC" w:rsidRDefault="00B127CC"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B127CC">
        <w:rPr>
          <w:b/>
          <w:color w:val="auto"/>
        </w:rPr>
        <w:t>Vaccini: fascia 5-11 anni.</w:t>
      </w:r>
      <w:r w:rsidRPr="00B127CC">
        <w:rPr>
          <w:color w:val="auto"/>
        </w:rPr>
        <w:t xml:space="preserve"> Al 20 aprile (aggiornamento ore 06.14) nella fascia 5-11 anni sono state somministrate 2.444.388 dosi: 1.381.088 hanno ricevuto almeno 1 dose di vaccino (di cui 1.249.045 hanno </w:t>
      </w:r>
      <w:r w:rsidRPr="00B127CC">
        <w:rPr>
          <w:color w:val="auto"/>
        </w:rPr>
        <w:lastRenderedPageBreak/>
        <w:t xml:space="preserve">completato il ciclo vaccinale), con un tasso di copertura nazionale che si attesta al 37,6% con </w:t>
      </w:r>
      <w:r w:rsidR="00E70AB7">
        <w:rPr>
          <w:color w:val="auto"/>
        </w:rPr>
        <w:t xml:space="preserve">enormi </w:t>
      </w:r>
      <w:r w:rsidRPr="00B127CC">
        <w:rPr>
          <w:color w:val="auto"/>
        </w:rPr>
        <w:t>differenze regionali (dal 20,5% della Provincia Autonoma di Bolzano al 53,9% della Puglia) (</w:t>
      </w:r>
      <w:r w:rsidRPr="00B127CC">
        <w:rPr>
          <w:color w:val="auto"/>
          <w:highlight w:val="yellow"/>
        </w:rPr>
        <w:t>figura 15</w:t>
      </w:r>
      <w:r w:rsidRPr="00B127CC">
        <w:rPr>
          <w:color w:val="auto"/>
        </w:rPr>
        <w:t>).</w:t>
      </w:r>
    </w:p>
    <w:p w:rsidR="003F2CF1" w:rsidRDefault="003F2CF1" w:rsidP="00A5792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3B28FB">
        <w:rPr>
          <w:b/>
          <w:color w:val="auto"/>
        </w:rPr>
        <w:t>Vaccini: terza dose.</w:t>
      </w:r>
      <w:r w:rsidRPr="003B28FB">
        <w:rPr>
          <w:color w:val="auto"/>
        </w:rPr>
        <w:t xml:space="preserve"> Al 20 aprile (aggiornamento ore 06.14) sono state somministrate 39.188.284 terze dosi con una media mobile a 7 giorni di 14.207 somministrazioni al giorno. In base alla </w:t>
      </w:r>
      <w:hyperlink r:id="rId8" w:history="1">
        <w:r w:rsidRPr="003B28FB">
          <w:rPr>
            <w:rStyle w:val="Collegamentoipertestuale"/>
            <w:color w:val="auto"/>
          </w:rPr>
          <w:t>platea ufficiale</w:t>
        </w:r>
      </w:hyperlink>
      <w:r w:rsidRPr="003B28FB">
        <w:rPr>
          <w:color w:val="auto"/>
        </w:rPr>
        <w:t xml:space="preserve"> (n. 46.695.848), aggiornata all’8 aprile, il tasso di copertura nazionale per le terze dosi è dell’83,9% con nette differenze regionali: dal 78,9% della Sicilia all’88% della Valle D'Aosta (</w:t>
      </w:r>
      <w:r w:rsidRPr="003B28FB">
        <w:rPr>
          <w:color w:val="auto"/>
          <w:highlight w:val="yellow"/>
        </w:rPr>
        <w:t>figura 16</w:t>
      </w:r>
      <w:r w:rsidRPr="003B28FB">
        <w:rPr>
          <w:color w:val="auto"/>
        </w:rPr>
        <w:t>).</w:t>
      </w:r>
      <w:r w:rsidR="003B28FB" w:rsidRPr="003B28FB">
        <w:rPr>
          <w:color w:val="auto"/>
        </w:rPr>
        <w:t xml:space="preserve"> Dei 7,5 milioni di persone che non hanno ancora ricevuto la dose </w:t>
      </w:r>
      <w:r w:rsidR="003B28FB" w:rsidRPr="003B28FB">
        <w:rPr>
          <w:i/>
          <w:color w:val="auto"/>
        </w:rPr>
        <w:t>booster</w:t>
      </w:r>
      <w:r w:rsidR="003B28FB" w:rsidRPr="003B28FB">
        <w:rPr>
          <w:color w:val="auto"/>
        </w:rPr>
        <w:t>, 2 milioni potrebbero riceverla subito, mentre</w:t>
      </w:r>
      <w:r w:rsidR="003B28FB" w:rsidRPr="003B28FB" w:rsidDel="00B24DAE">
        <w:rPr>
          <w:color w:val="auto"/>
        </w:rPr>
        <w:t xml:space="preserve"> </w:t>
      </w:r>
      <w:r w:rsidR="003B28FB" w:rsidRPr="003B28FB">
        <w:rPr>
          <w:color w:val="auto"/>
        </w:rPr>
        <w:t xml:space="preserve">i 5,5 milioni di guariti da meno di 120 giorni non </w:t>
      </w:r>
      <w:r w:rsidR="009619D7">
        <w:rPr>
          <w:color w:val="auto"/>
        </w:rPr>
        <w:t xml:space="preserve">possono </w:t>
      </w:r>
      <w:r w:rsidR="003B28FB" w:rsidRPr="003B28FB">
        <w:rPr>
          <w:color w:val="auto"/>
        </w:rPr>
        <w:t>riceverla nell’immediato (</w:t>
      </w:r>
      <w:r w:rsidR="003B28FB" w:rsidRPr="003B28FB">
        <w:rPr>
          <w:color w:val="auto"/>
          <w:highlight w:val="yellow"/>
        </w:rPr>
        <w:t>figura 17</w:t>
      </w:r>
      <w:r w:rsidR="003B28FB" w:rsidRPr="003B28FB">
        <w:rPr>
          <w:color w:val="auto"/>
        </w:rPr>
        <w:t>).</w:t>
      </w:r>
    </w:p>
    <w:p w:rsidR="00D71401" w:rsidRPr="00E70AB7" w:rsidRDefault="00E70AB7" w:rsidP="00A5792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i/>
          <w:color w:val="auto"/>
        </w:rPr>
      </w:pPr>
      <w:r>
        <w:rPr>
          <w:b/>
          <w:color w:val="auto"/>
        </w:rPr>
        <w:t xml:space="preserve">Vaccini: quarta dose. </w:t>
      </w:r>
      <w:r>
        <w:rPr>
          <w:color w:val="auto"/>
        </w:rPr>
        <w:t>Oltre che per le persone immunocompromesse (n.</w:t>
      </w:r>
      <w:r w:rsidR="00AE03CF">
        <w:rPr>
          <w:color w:val="auto"/>
        </w:rPr>
        <w:t xml:space="preserve"> </w:t>
      </w:r>
      <w:r>
        <w:rPr>
          <w:color w:val="auto"/>
        </w:rPr>
        <w:t xml:space="preserve">791.376), la </w:t>
      </w:r>
      <w:hyperlink r:id="rId9" w:history="1">
        <w:r w:rsidRPr="00AE03CF">
          <w:rPr>
            <w:rStyle w:val="Collegamentoipertestuale"/>
          </w:rPr>
          <w:t>circolare del Ministero della Salute del</w:t>
        </w:r>
        <w:r w:rsidR="00AE03CF" w:rsidRPr="00AE03CF">
          <w:rPr>
            <w:rStyle w:val="Collegamentoipertestuale"/>
          </w:rPr>
          <w:t>l’8 aprile</w:t>
        </w:r>
      </w:hyperlink>
      <w:r w:rsidRPr="00E70AB7">
        <w:rPr>
          <w:color w:val="FF0000"/>
        </w:rPr>
        <w:t xml:space="preserve"> </w:t>
      </w:r>
      <w:r>
        <w:rPr>
          <w:color w:val="auto"/>
        </w:rPr>
        <w:t>raccomanda il secondo richiamo (quarta dose) per tre categorie di persone: gli over 80 (n. 2.795.910), i pazienti fragili della fascia di età 60-79 (n.</w:t>
      </w:r>
      <w:r w:rsidR="00AE03CF">
        <w:rPr>
          <w:color w:val="auto"/>
        </w:rPr>
        <w:t xml:space="preserve"> </w:t>
      </w:r>
      <w:r>
        <w:rPr>
          <w:color w:val="auto"/>
        </w:rPr>
        <w:t>1.538.</w:t>
      </w:r>
      <w:r w:rsidR="00AE03CF">
        <w:rPr>
          <w:color w:val="auto"/>
        </w:rPr>
        <w:t>5</w:t>
      </w:r>
      <w:r>
        <w:rPr>
          <w:color w:val="auto"/>
        </w:rPr>
        <w:t xml:space="preserve">88) e gli ospiti delle RSA che non ricadono nelle categorie precedenti </w:t>
      </w:r>
      <w:r w:rsidR="00AE03CF">
        <w:rPr>
          <w:color w:val="auto"/>
        </w:rPr>
        <w:t>(n. 88.</w:t>
      </w:r>
      <w:r>
        <w:rPr>
          <w:color w:val="auto"/>
        </w:rPr>
        <w:t>099)</w:t>
      </w:r>
      <w:r w:rsidR="00A844BE">
        <w:rPr>
          <w:color w:val="auto"/>
        </w:rPr>
        <w:t>,</w:t>
      </w:r>
      <w:r w:rsidR="004C731C">
        <w:rPr>
          <w:color w:val="auto"/>
        </w:rPr>
        <w:t xml:space="preserve"> per un totale di </w:t>
      </w:r>
      <w:r w:rsidR="00A844BE">
        <w:rPr>
          <w:color w:val="auto"/>
        </w:rPr>
        <w:t xml:space="preserve">oltre </w:t>
      </w:r>
      <w:r w:rsidR="004C731C" w:rsidRPr="004C731C">
        <w:rPr>
          <w:color w:val="auto"/>
        </w:rPr>
        <w:t>5</w:t>
      </w:r>
      <w:r w:rsidR="00A844BE">
        <w:rPr>
          <w:color w:val="auto"/>
        </w:rPr>
        <w:t>,2 milioni di</w:t>
      </w:r>
      <w:r w:rsidR="004C731C">
        <w:rPr>
          <w:color w:val="auto"/>
        </w:rPr>
        <w:t xml:space="preserve"> persone</w:t>
      </w:r>
      <w:r>
        <w:rPr>
          <w:color w:val="auto"/>
        </w:rPr>
        <w:t>.</w:t>
      </w:r>
    </w:p>
    <w:p w:rsidR="00D71401" w:rsidRPr="003B28FB" w:rsidRDefault="00D71401" w:rsidP="00D7140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center"/>
        <w:rPr>
          <w:color w:val="auto"/>
        </w:rPr>
      </w:pPr>
      <w:r>
        <w:rPr>
          <w:rFonts w:eastAsia="Times New Roman" w:cstheme="minorHAnsi"/>
          <w:noProof/>
          <w:color w:val="auto"/>
        </w:rPr>
        <w:drawing>
          <wp:inline distT="0" distB="0" distL="0" distR="0" wp14:anchorId="2AD143B4" wp14:editId="391F24FC">
            <wp:extent cx="5760000" cy="3856783"/>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3856783"/>
                    </a:xfrm>
                    <a:prstGeom prst="rect">
                      <a:avLst/>
                    </a:prstGeom>
                    <a:noFill/>
                  </pic:spPr>
                </pic:pic>
              </a:graphicData>
            </a:graphic>
          </wp:inline>
        </w:drawing>
      </w:r>
    </w:p>
    <w:p w:rsidR="003B28FB" w:rsidRDefault="003B28FB" w:rsidP="0039345B">
      <w:pPr>
        <w:spacing w:line="276" w:lineRule="auto"/>
        <w:jc w:val="both"/>
        <w:rPr>
          <w:rFonts w:eastAsia="Times New Roman" w:cstheme="minorHAnsi"/>
          <w:color w:val="FF0000"/>
        </w:rPr>
      </w:pPr>
      <w:r w:rsidRPr="003B28FB">
        <w:rPr>
          <w:rFonts w:eastAsia="Times New Roman" w:cstheme="minorHAnsi"/>
          <w:b/>
          <w:color w:val="auto"/>
        </w:rPr>
        <w:t>Vaccini: quarta dose persone immunocompromesse</w:t>
      </w:r>
      <w:r w:rsidRPr="003B28FB">
        <w:rPr>
          <w:rFonts w:eastAsia="Times New Roman" w:cstheme="minorHAnsi"/>
          <w:color w:val="auto"/>
        </w:rPr>
        <w:t xml:space="preserve">. Al 20 aprile (aggiornamento ore 06.14) sono state somministrate 80.554 quarte dosi. In base alla </w:t>
      </w:r>
      <w:hyperlink r:id="rId11" w:history="1">
        <w:r w:rsidRPr="003B28FB">
          <w:rPr>
            <w:rStyle w:val="Collegamentoipertestuale"/>
            <w:color w:val="auto"/>
          </w:rPr>
          <w:t>platea ufficiale</w:t>
        </w:r>
      </w:hyperlink>
      <w:r w:rsidRPr="003B28FB">
        <w:rPr>
          <w:rFonts w:eastAsia="Times New Roman" w:cstheme="minorHAnsi"/>
          <w:color w:val="auto"/>
        </w:rPr>
        <w:t xml:space="preserve"> (n. 791.376), aggiornata al 9 marzo, il tasso di copertura nazionale per le quarte dosi è del 10,2% con nette differenze regionali: dall’1,6% della Calabria al 40,5% del Piemonte </w:t>
      </w:r>
      <w:r w:rsidRPr="003B28FB">
        <w:rPr>
          <w:color w:val="auto"/>
        </w:rPr>
        <w:t>(</w:t>
      </w:r>
      <w:r w:rsidRPr="003B28FB">
        <w:rPr>
          <w:color w:val="auto"/>
          <w:highlight w:val="yellow"/>
        </w:rPr>
        <w:t>figura 18</w:t>
      </w:r>
      <w:r w:rsidRPr="003B28FB">
        <w:rPr>
          <w:color w:val="auto"/>
        </w:rPr>
        <w:t>)</w:t>
      </w:r>
      <w:r w:rsidRPr="003B28FB">
        <w:rPr>
          <w:rFonts w:eastAsia="Times New Roman" w:cstheme="minorHAnsi"/>
          <w:color w:val="auto"/>
        </w:rPr>
        <w:t xml:space="preserve">. </w:t>
      </w:r>
    </w:p>
    <w:p w:rsidR="00306EC3" w:rsidRDefault="00D71401" w:rsidP="00306EC3">
      <w:pPr>
        <w:spacing w:line="276" w:lineRule="auto"/>
        <w:jc w:val="both"/>
        <w:rPr>
          <w:rFonts w:eastAsia="Times New Roman" w:cstheme="minorHAnsi"/>
          <w:color w:val="auto"/>
        </w:rPr>
      </w:pPr>
      <w:r w:rsidRPr="00D71401">
        <w:rPr>
          <w:rFonts w:eastAsia="Times New Roman" w:cstheme="minorHAnsi"/>
          <w:b/>
          <w:color w:val="auto"/>
        </w:rPr>
        <w:t>Vaccini: quarta dose over 80, ospiti RSA e frag</w:t>
      </w:r>
      <w:r w:rsidR="00E70AB7">
        <w:rPr>
          <w:rFonts w:eastAsia="Times New Roman" w:cstheme="minorHAnsi"/>
          <w:b/>
          <w:color w:val="auto"/>
        </w:rPr>
        <w:t>i</w:t>
      </w:r>
      <w:r w:rsidRPr="00D71401">
        <w:rPr>
          <w:rFonts w:eastAsia="Times New Roman" w:cstheme="minorHAnsi"/>
          <w:b/>
          <w:color w:val="auto"/>
        </w:rPr>
        <w:t xml:space="preserve">li (60-79 anni). </w:t>
      </w:r>
      <w:r w:rsidRPr="003B28FB">
        <w:rPr>
          <w:rFonts w:eastAsia="Times New Roman" w:cstheme="minorHAnsi"/>
          <w:color w:val="auto"/>
        </w:rPr>
        <w:t xml:space="preserve">Al 20 aprile (aggiornamento ore 06.14) sono state somministrate </w:t>
      </w:r>
      <w:r w:rsidR="00455FD5">
        <w:rPr>
          <w:rFonts w:eastAsia="Times New Roman" w:cstheme="minorHAnsi"/>
          <w:color w:val="auto"/>
        </w:rPr>
        <w:t>29.158</w:t>
      </w:r>
      <w:r w:rsidRPr="003B28FB">
        <w:rPr>
          <w:rFonts w:eastAsia="Times New Roman" w:cstheme="minorHAnsi"/>
          <w:color w:val="auto"/>
        </w:rPr>
        <w:t xml:space="preserve"> quarte dosi. In base alla </w:t>
      </w:r>
      <w:hyperlink r:id="rId12" w:history="1">
        <w:r w:rsidRPr="003B28FB">
          <w:rPr>
            <w:rStyle w:val="Collegamentoipertestuale"/>
            <w:color w:val="auto"/>
          </w:rPr>
          <w:t>platea ufficiale</w:t>
        </w:r>
      </w:hyperlink>
      <w:r w:rsidRPr="003B28FB">
        <w:rPr>
          <w:rFonts w:eastAsia="Times New Roman" w:cstheme="minorHAnsi"/>
          <w:color w:val="auto"/>
        </w:rPr>
        <w:t xml:space="preserve"> (n. </w:t>
      </w:r>
      <w:r>
        <w:rPr>
          <w:rFonts w:eastAsia="Times New Roman" w:cstheme="minorHAnsi"/>
          <w:color w:val="auto"/>
        </w:rPr>
        <w:t>4.422.597</w:t>
      </w:r>
      <w:r w:rsidRPr="003B28FB">
        <w:rPr>
          <w:rFonts w:eastAsia="Times New Roman" w:cstheme="minorHAnsi"/>
          <w:color w:val="auto"/>
        </w:rPr>
        <w:t xml:space="preserve">), aggiornata al </w:t>
      </w:r>
      <w:r>
        <w:rPr>
          <w:rFonts w:eastAsia="Times New Roman" w:cstheme="minorHAnsi"/>
          <w:color w:val="auto"/>
        </w:rPr>
        <w:t>1</w:t>
      </w:r>
      <w:r w:rsidRPr="003B28FB">
        <w:rPr>
          <w:rFonts w:eastAsia="Times New Roman" w:cstheme="minorHAnsi"/>
          <w:color w:val="auto"/>
        </w:rPr>
        <w:t xml:space="preserve">9 </w:t>
      </w:r>
      <w:r>
        <w:rPr>
          <w:rFonts w:eastAsia="Times New Roman" w:cstheme="minorHAnsi"/>
          <w:color w:val="auto"/>
        </w:rPr>
        <w:t>aprile</w:t>
      </w:r>
      <w:r w:rsidRPr="003B28FB">
        <w:rPr>
          <w:rFonts w:eastAsia="Times New Roman" w:cstheme="minorHAnsi"/>
          <w:color w:val="auto"/>
        </w:rPr>
        <w:t>, il tasso di copertura nazionale per le quarte dosi è del</w:t>
      </w:r>
      <w:r w:rsidR="00306EC3">
        <w:rPr>
          <w:rFonts w:eastAsia="Times New Roman" w:cstheme="minorHAnsi"/>
          <w:color w:val="auto"/>
        </w:rPr>
        <w:t>lo</w:t>
      </w:r>
      <w:r w:rsidRPr="003B28FB">
        <w:rPr>
          <w:rFonts w:eastAsia="Times New Roman" w:cstheme="minorHAnsi"/>
          <w:color w:val="auto"/>
        </w:rPr>
        <w:t xml:space="preserve"> </w:t>
      </w:r>
      <w:r w:rsidR="00306EC3">
        <w:rPr>
          <w:rFonts w:eastAsia="Times New Roman" w:cstheme="minorHAnsi"/>
          <w:color w:val="auto"/>
        </w:rPr>
        <w:t>0,7</w:t>
      </w:r>
      <w:r w:rsidRPr="003B28FB">
        <w:rPr>
          <w:rFonts w:eastAsia="Times New Roman" w:cstheme="minorHAnsi"/>
          <w:color w:val="auto"/>
        </w:rPr>
        <w:t>% con</w:t>
      </w:r>
      <w:r w:rsidR="004262FC">
        <w:rPr>
          <w:rFonts w:eastAsia="Times New Roman" w:cstheme="minorHAnsi"/>
          <w:color w:val="auto"/>
        </w:rPr>
        <w:t xml:space="preserve"> le consuete</w:t>
      </w:r>
      <w:r w:rsidRPr="003B28FB">
        <w:rPr>
          <w:rFonts w:eastAsia="Times New Roman" w:cstheme="minorHAnsi"/>
          <w:color w:val="auto"/>
        </w:rPr>
        <w:t xml:space="preserve"> differenze regionali: </w:t>
      </w:r>
      <w:r w:rsidR="00306EC3">
        <w:rPr>
          <w:rFonts w:eastAsia="Times New Roman" w:cstheme="minorHAnsi"/>
          <w:color w:val="auto"/>
        </w:rPr>
        <w:t xml:space="preserve">dallo 0,04% del Friuli-Venezia Giulia </w:t>
      </w:r>
      <w:r w:rsidRPr="003B28FB">
        <w:rPr>
          <w:rFonts w:eastAsia="Times New Roman" w:cstheme="minorHAnsi"/>
          <w:color w:val="auto"/>
        </w:rPr>
        <w:t>all’1,</w:t>
      </w:r>
      <w:r w:rsidR="00306EC3">
        <w:rPr>
          <w:rFonts w:eastAsia="Times New Roman" w:cstheme="minorHAnsi"/>
          <w:color w:val="auto"/>
        </w:rPr>
        <w:t>2</w:t>
      </w:r>
      <w:r w:rsidRPr="003B28FB">
        <w:rPr>
          <w:rFonts w:eastAsia="Times New Roman" w:cstheme="minorHAnsi"/>
          <w:color w:val="auto"/>
        </w:rPr>
        <w:t>% del</w:t>
      </w:r>
      <w:r w:rsidR="00306EC3">
        <w:rPr>
          <w:rFonts w:eastAsia="Times New Roman" w:cstheme="minorHAnsi"/>
          <w:color w:val="auto"/>
        </w:rPr>
        <w:t xml:space="preserve"> Lazio </w:t>
      </w:r>
      <w:r w:rsidRPr="003B28FB">
        <w:rPr>
          <w:color w:val="auto"/>
        </w:rPr>
        <w:t>(</w:t>
      </w:r>
      <w:r w:rsidRPr="003B28FB">
        <w:rPr>
          <w:color w:val="auto"/>
          <w:highlight w:val="yellow"/>
        </w:rPr>
        <w:t>figura 1</w:t>
      </w:r>
      <w:r>
        <w:rPr>
          <w:color w:val="auto"/>
          <w:highlight w:val="yellow"/>
        </w:rPr>
        <w:t>9</w:t>
      </w:r>
      <w:r w:rsidRPr="003B28FB">
        <w:rPr>
          <w:color w:val="auto"/>
        </w:rPr>
        <w:t>)</w:t>
      </w:r>
      <w:r w:rsidRPr="003B28FB">
        <w:rPr>
          <w:rFonts w:eastAsia="Times New Roman" w:cstheme="minorHAnsi"/>
          <w:color w:val="auto"/>
        </w:rPr>
        <w:t>.</w:t>
      </w:r>
    </w:p>
    <w:p w:rsidR="00E70AB7" w:rsidRPr="00084E0B" w:rsidRDefault="00E70AB7" w:rsidP="00306EC3">
      <w:pPr>
        <w:spacing w:line="276" w:lineRule="auto"/>
        <w:jc w:val="both"/>
        <w:rPr>
          <w:rFonts w:eastAsia="Times New Roman" w:cstheme="minorHAnsi"/>
          <w:color w:val="auto"/>
        </w:rPr>
      </w:pPr>
      <w:r w:rsidRPr="00084E0B">
        <w:rPr>
          <w:rFonts w:eastAsia="Times New Roman" w:cstheme="minorHAnsi"/>
          <w:color w:val="auto"/>
        </w:rPr>
        <w:t xml:space="preserve">«Dopo 7 settimane dal via libera </w:t>
      </w:r>
      <w:r w:rsidR="00084E0B">
        <w:rPr>
          <w:rFonts w:eastAsia="Times New Roman" w:cstheme="minorHAnsi"/>
          <w:color w:val="auto"/>
        </w:rPr>
        <w:t xml:space="preserve">della quarta dose </w:t>
      </w:r>
      <w:r w:rsidRPr="00084E0B">
        <w:rPr>
          <w:rFonts w:eastAsia="Times New Roman" w:cstheme="minorHAnsi"/>
          <w:color w:val="auto"/>
        </w:rPr>
        <w:t xml:space="preserve">per le persone immunocompromesse – commenta Cartabellotta – </w:t>
      </w:r>
      <w:r w:rsidR="00084E0B">
        <w:rPr>
          <w:rFonts w:eastAsia="Times New Roman" w:cstheme="minorHAnsi"/>
          <w:color w:val="auto"/>
        </w:rPr>
        <w:t xml:space="preserve">un </w:t>
      </w:r>
      <w:r w:rsidR="004262FC">
        <w:rPr>
          <w:rFonts w:eastAsia="Times New Roman" w:cstheme="minorHAnsi"/>
          <w:color w:val="auto"/>
        </w:rPr>
        <w:t xml:space="preserve">tasso di copertura nazionale al </w:t>
      </w:r>
      <w:r w:rsidR="00084E0B">
        <w:rPr>
          <w:rFonts w:eastAsia="Times New Roman" w:cstheme="minorHAnsi"/>
          <w:color w:val="auto"/>
        </w:rPr>
        <w:t xml:space="preserve">10,2% </w:t>
      </w:r>
      <w:r w:rsidR="004262FC">
        <w:rPr>
          <w:rFonts w:eastAsia="Times New Roman" w:cstheme="minorHAnsi"/>
          <w:color w:val="auto"/>
        </w:rPr>
        <w:t>e</w:t>
      </w:r>
      <w:r w:rsidR="00084E0B">
        <w:rPr>
          <w:rFonts w:eastAsia="Times New Roman" w:cstheme="minorHAnsi"/>
          <w:color w:val="auto"/>
        </w:rPr>
        <w:t xml:space="preserve"> ingiustificate differenze regionali dimostrano che, al momento, la protezione di oltre 790 mila persone estremamente fragili è </w:t>
      </w:r>
      <w:r w:rsidR="004262FC">
        <w:rPr>
          <w:rFonts w:eastAsia="Times New Roman" w:cstheme="minorHAnsi"/>
          <w:color w:val="auto"/>
        </w:rPr>
        <w:t xml:space="preserve">un </w:t>
      </w:r>
      <w:r w:rsidR="009619D7">
        <w:rPr>
          <w:rFonts w:eastAsia="Times New Roman" w:cstheme="minorHAnsi"/>
          <w:color w:val="auto"/>
        </w:rPr>
        <w:t>lontano miraggio</w:t>
      </w:r>
      <w:r w:rsidR="00084E0B">
        <w:rPr>
          <w:rFonts w:eastAsia="Times New Roman" w:cstheme="minorHAnsi"/>
          <w:color w:val="auto"/>
        </w:rPr>
        <w:t xml:space="preserve">. Di conseguenza, </w:t>
      </w:r>
      <w:r w:rsidRPr="00084E0B">
        <w:rPr>
          <w:rFonts w:eastAsia="Times New Roman" w:cstheme="minorHAnsi"/>
          <w:color w:val="auto"/>
        </w:rPr>
        <w:t>l</w:t>
      </w:r>
      <w:r w:rsidR="00084E0B">
        <w:rPr>
          <w:rFonts w:eastAsia="Times New Roman" w:cstheme="minorHAnsi"/>
          <w:color w:val="auto"/>
        </w:rPr>
        <w:t>’estensione della platea per la quarta dose ad oltre</w:t>
      </w:r>
      <w:r w:rsidR="004C731C">
        <w:rPr>
          <w:rFonts w:eastAsia="Times New Roman" w:cstheme="minorHAnsi"/>
          <w:color w:val="auto"/>
        </w:rPr>
        <w:t xml:space="preserve"> 5,2 milioni di persone</w:t>
      </w:r>
      <w:r w:rsidR="00084E0B">
        <w:rPr>
          <w:rFonts w:eastAsia="Times New Roman" w:cstheme="minorHAnsi"/>
          <w:color w:val="auto"/>
        </w:rPr>
        <w:t xml:space="preserve"> richiede indubbiamente sia nuove strategie di comunicazione, sia meccanismi di chiamata attiva e non può </w:t>
      </w:r>
      <w:r w:rsidRPr="00084E0B">
        <w:rPr>
          <w:rFonts w:eastAsia="Times New Roman" w:cstheme="minorHAnsi"/>
          <w:color w:val="auto"/>
        </w:rPr>
        <w:t xml:space="preserve">essere affidata </w:t>
      </w:r>
      <w:r w:rsidR="00084E0B">
        <w:rPr>
          <w:rFonts w:eastAsia="Times New Roman" w:cstheme="minorHAnsi"/>
          <w:color w:val="auto"/>
        </w:rPr>
        <w:t xml:space="preserve">solo </w:t>
      </w:r>
      <w:r w:rsidRPr="00084E0B">
        <w:rPr>
          <w:rFonts w:eastAsia="Times New Roman" w:cstheme="minorHAnsi"/>
          <w:color w:val="auto"/>
        </w:rPr>
        <w:t>all’adesione volontaria».</w:t>
      </w:r>
    </w:p>
    <w:p w:rsidR="004E61A3" w:rsidRPr="008D030B" w:rsidRDefault="00DA5AD4" w:rsidP="006203EA">
      <w:pPr>
        <w:jc w:val="both"/>
        <w:rPr>
          <w:b/>
          <w:color w:val="auto"/>
          <w:sz w:val="18"/>
        </w:rPr>
      </w:pPr>
      <w:r w:rsidRPr="008D030B">
        <w:rPr>
          <w:color w:val="auto"/>
        </w:rPr>
        <w:lastRenderedPageBreak/>
        <w:t>«</w:t>
      </w:r>
      <w:r w:rsidR="00DB19B0" w:rsidRPr="008D030B">
        <w:rPr>
          <w:color w:val="auto"/>
        </w:rPr>
        <w:t>Che la campagna vaccinale si</w:t>
      </w:r>
      <w:r w:rsidR="00407426">
        <w:rPr>
          <w:color w:val="auto"/>
        </w:rPr>
        <w:t xml:space="preserve">a ormai al palo </w:t>
      </w:r>
      <w:r w:rsidR="00B91A74" w:rsidRPr="008D030B">
        <w:rPr>
          <w:color w:val="auto"/>
        </w:rPr>
        <w:t xml:space="preserve">– </w:t>
      </w:r>
      <w:r w:rsidR="00DB19B0" w:rsidRPr="008D030B">
        <w:rPr>
          <w:color w:val="auto"/>
        </w:rPr>
        <w:t xml:space="preserve">continua </w:t>
      </w:r>
      <w:r w:rsidR="000E0C48" w:rsidRPr="008D030B">
        <w:rPr>
          <w:color w:val="auto"/>
        </w:rPr>
        <w:t xml:space="preserve">il Presidente </w:t>
      </w:r>
      <w:r w:rsidR="00B91A74" w:rsidRPr="008D030B">
        <w:rPr>
          <w:color w:val="auto"/>
        </w:rPr>
        <w:t xml:space="preserve">– </w:t>
      </w:r>
      <w:r w:rsidR="00DB19B0" w:rsidRPr="008D030B">
        <w:rPr>
          <w:color w:val="auto"/>
        </w:rPr>
        <w:t xml:space="preserve">è un dato di fatto, </w:t>
      </w:r>
      <w:r w:rsidRPr="008D030B">
        <w:rPr>
          <w:color w:val="auto"/>
        </w:rPr>
        <w:t>nonostante 4,</w:t>
      </w:r>
      <w:r w:rsidR="003B28FB" w:rsidRPr="008D030B">
        <w:rPr>
          <w:color w:val="auto"/>
        </w:rPr>
        <w:t>2</w:t>
      </w:r>
      <w:r w:rsidRPr="008D030B">
        <w:rPr>
          <w:color w:val="auto"/>
        </w:rPr>
        <w:t xml:space="preserve"> milioni di persone</w:t>
      </w:r>
      <w:r w:rsidR="00DE4D9C" w:rsidRPr="008D030B">
        <w:rPr>
          <w:color w:val="auto"/>
        </w:rPr>
        <w:t xml:space="preserve"> </w:t>
      </w:r>
      <w:r w:rsidRPr="008D030B">
        <w:rPr>
          <w:color w:val="auto"/>
        </w:rPr>
        <w:t>vaccinabili con prima dose e 2</w:t>
      </w:r>
      <w:r w:rsidR="005A434C" w:rsidRPr="008D030B">
        <w:rPr>
          <w:color w:val="auto"/>
        </w:rPr>
        <w:t xml:space="preserve"> </w:t>
      </w:r>
      <w:r w:rsidR="00085AF6" w:rsidRPr="008D030B">
        <w:rPr>
          <w:color w:val="auto"/>
        </w:rPr>
        <w:t>milioni</w:t>
      </w:r>
      <w:r w:rsidRPr="008D030B">
        <w:rPr>
          <w:color w:val="auto"/>
        </w:rPr>
        <w:t xml:space="preserve"> con </w:t>
      </w:r>
      <w:r w:rsidR="00DE4D9C" w:rsidRPr="008D030B">
        <w:rPr>
          <w:color w:val="auto"/>
        </w:rPr>
        <w:t xml:space="preserve">dose </w:t>
      </w:r>
      <w:r w:rsidRPr="008D030B">
        <w:rPr>
          <w:i/>
          <w:color w:val="auto"/>
        </w:rPr>
        <w:t>booster</w:t>
      </w:r>
      <w:r w:rsidRPr="008D030B">
        <w:rPr>
          <w:color w:val="auto"/>
        </w:rPr>
        <w:t>.</w:t>
      </w:r>
      <w:r w:rsidR="00DE4D9C" w:rsidRPr="008D030B">
        <w:rPr>
          <w:color w:val="auto"/>
        </w:rPr>
        <w:t xml:space="preserve"> I tassi di copertura </w:t>
      </w:r>
      <w:r w:rsidR="00DD62D9" w:rsidRPr="008D030B">
        <w:rPr>
          <w:color w:val="auto"/>
        </w:rPr>
        <w:t>vaccinale</w:t>
      </w:r>
      <w:r w:rsidR="00DE4D9C" w:rsidRPr="008D030B">
        <w:rPr>
          <w:color w:val="auto"/>
        </w:rPr>
        <w:t xml:space="preserve">, infatti, </w:t>
      </w:r>
      <w:r w:rsidR="00795D4B" w:rsidRPr="008D030B">
        <w:rPr>
          <w:color w:val="auto"/>
        </w:rPr>
        <w:t xml:space="preserve">nell’ultimo mese </w:t>
      </w:r>
      <w:r w:rsidR="00DE4D9C" w:rsidRPr="008D030B">
        <w:rPr>
          <w:color w:val="auto"/>
        </w:rPr>
        <w:t xml:space="preserve">hanno registrato </w:t>
      </w:r>
      <w:r w:rsidR="00407426">
        <w:rPr>
          <w:color w:val="auto"/>
        </w:rPr>
        <w:t xml:space="preserve">aumenti </w:t>
      </w:r>
      <w:proofErr w:type="gramStart"/>
      <w:r w:rsidR="00407426">
        <w:rPr>
          <w:color w:val="auto"/>
        </w:rPr>
        <w:t xml:space="preserve">irrisori </w:t>
      </w:r>
      <w:r w:rsidR="00DD62D9" w:rsidRPr="008D030B">
        <w:rPr>
          <w:color w:val="auto"/>
        </w:rPr>
        <w:t>»</w:t>
      </w:r>
      <w:proofErr w:type="gramEnd"/>
      <w:r w:rsidR="00B8370F" w:rsidRPr="008D030B">
        <w:rPr>
          <w:color w:val="auto"/>
        </w:rPr>
        <w:t xml:space="preserve">. </w:t>
      </w:r>
      <w:r w:rsidR="00FB26BC" w:rsidRPr="008D030B">
        <w:rPr>
          <w:color w:val="auto"/>
        </w:rPr>
        <w:t xml:space="preserve">Tra il </w:t>
      </w:r>
      <w:r w:rsidR="003B28FB" w:rsidRPr="008D030B">
        <w:rPr>
          <w:color w:val="auto"/>
        </w:rPr>
        <w:t>20</w:t>
      </w:r>
      <w:r w:rsidR="00FB26BC" w:rsidRPr="008D030B">
        <w:rPr>
          <w:color w:val="auto"/>
        </w:rPr>
        <w:t xml:space="preserve"> marzo e il </w:t>
      </w:r>
      <w:r w:rsidR="003B28FB" w:rsidRPr="008D030B">
        <w:rPr>
          <w:color w:val="auto"/>
        </w:rPr>
        <w:t>19</w:t>
      </w:r>
      <w:r w:rsidR="00FB26BC" w:rsidRPr="008D030B">
        <w:rPr>
          <w:color w:val="auto"/>
        </w:rPr>
        <w:t xml:space="preserve"> aprile</w:t>
      </w:r>
      <w:r w:rsidR="00B952E3" w:rsidRPr="008D030B">
        <w:rPr>
          <w:color w:val="auto"/>
        </w:rPr>
        <w:t xml:space="preserve"> </w:t>
      </w:r>
      <w:r w:rsidR="00FB26BC" w:rsidRPr="008D030B">
        <w:rPr>
          <w:color w:val="auto"/>
        </w:rPr>
        <w:t>l</w:t>
      </w:r>
      <w:r w:rsidR="00F62E1B" w:rsidRPr="008D030B">
        <w:rPr>
          <w:color w:val="auto"/>
        </w:rPr>
        <w:t xml:space="preserve">e coperture con almeno una dose </w:t>
      </w:r>
      <w:r w:rsidR="003B28FB" w:rsidRPr="008D030B">
        <w:rPr>
          <w:color w:val="auto"/>
        </w:rPr>
        <w:t>sono ferme all’</w:t>
      </w:r>
      <w:r w:rsidR="009A25F3" w:rsidRPr="008D030B">
        <w:rPr>
          <w:color w:val="auto"/>
        </w:rPr>
        <w:t>85,6%</w:t>
      </w:r>
      <w:r w:rsidR="00B8370F" w:rsidRPr="008D030B">
        <w:rPr>
          <w:color w:val="auto"/>
        </w:rPr>
        <w:t xml:space="preserve">; quelle con ciclo completo </w:t>
      </w:r>
      <w:r w:rsidR="00A51DC5" w:rsidRPr="008D030B">
        <w:rPr>
          <w:color w:val="auto"/>
        </w:rPr>
        <w:t xml:space="preserve">sono cresciute di </w:t>
      </w:r>
      <w:r w:rsidR="00E66A25" w:rsidRPr="008D030B">
        <w:rPr>
          <w:color w:val="auto"/>
        </w:rPr>
        <w:t>soli 0,</w:t>
      </w:r>
      <w:r w:rsidR="003B28FB" w:rsidRPr="008D030B">
        <w:rPr>
          <w:color w:val="auto"/>
        </w:rPr>
        <w:t>2</w:t>
      </w:r>
      <w:r w:rsidR="00E66A25" w:rsidRPr="008D030B">
        <w:rPr>
          <w:color w:val="auto"/>
        </w:rPr>
        <w:t xml:space="preserve"> punti percentuali passando da 83</w:t>
      </w:r>
      <w:r w:rsidR="009A25F3" w:rsidRPr="008D030B">
        <w:rPr>
          <w:color w:val="auto"/>
        </w:rPr>
        <w:t>,</w:t>
      </w:r>
      <w:r w:rsidR="003B28FB" w:rsidRPr="008D030B">
        <w:rPr>
          <w:color w:val="auto"/>
        </w:rPr>
        <w:t>9</w:t>
      </w:r>
      <w:r w:rsidR="009A25F3" w:rsidRPr="008D030B">
        <w:rPr>
          <w:color w:val="auto"/>
        </w:rPr>
        <w:t xml:space="preserve">% a </w:t>
      </w:r>
      <w:r w:rsidR="005A434C" w:rsidRPr="008D030B">
        <w:rPr>
          <w:color w:val="auto"/>
        </w:rPr>
        <w:t>84</w:t>
      </w:r>
      <w:r w:rsidR="00380531" w:rsidRPr="008D030B">
        <w:rPr>
          <w:color w:val="auto"/>
        </w:rPr>
        <w:t>,1</w:t>
      </w:r>
      <w:r w:rsidR="009A25F3" w:rsidRPr="008D030B">
        <w:rPr>
          <w:color w:val="auto"/>
        </w:rPr>
        <w:t>%</w:t>
      </w:r>
      <w:r w:rsidR="00F62E1B" w:rsidRPr="008D030B">
        <w:rPr>
          <w:color w:val="auto"/>
        </w:rPr>
        <w:t>. Anche le coperture delle terze e quarte dosi</w:t>
      </w:r>
      <w:r w:rsidR="008D030B" w:rsidRPr="008D030B">
        <w:rPr>
          <w:color w:val="auto"/>
        </w:rPr>
        <w:t xml:space="preserve"> per le persone immunocompromesse</w:t>
      </w:r>
      <w:r w:rsidR="00F62E1B" w:rsidRPr="008D030B">
        <w:rPr>
          <w:color w:val="auto"/>
        </w:rPr>
        <w:t xml:space="preserve"> procedono </w:t>
      </w:r>
      <w:r w:rsidR="00141D1E" w:rsidRPr="008D030B">
        <w:rPr>
          <w:color w:val="auto"/>
        </w:rPr>
        <w:t xml:space="preserve">molto </w:t>
      </w:r>
      <w:r w:rsidR="00F62E1B" w:rsidRPr="008D030B">
        <w:rPr>
          <w:color w:val="auto"/>
        </w:rPr>
        <w:t>a rilento con</w:t>
      </w:r>
      <w:r w:rsidR="00B91A74" w:rsidRPr="008D030B">
        <w:rPr>
          <w:color w:val="auto"/>
        </w:rPr>
        <w:t xml:space="preserve"> </w:t>
      </w:r>
      <w:r w:rsidR="009A25F3" w:rsidRPr="008D030B">
        <w:rPr>
          <w:color w:val="auto"/>
        </w:rPr>
        <w:t>incrementi pari</w:t>
      </w:r>
      <w:r w:rsidR="00B91A74" w:rsidRPr="008D030B">
        <w:rPr>
          <w:color w:val="auto"/>
        </w:rPr>
        <w:t xml:space="preserve"> rispettivamente</w:t>
      </w:r>
      <w:r w:rsidR="009A25F3" w:rsidRPr="008D030B">
        <w:rPr>
          <w:color w:val="auto"/>
        </w:rPr>
        <w:t xml:space="preserve"> a </w:t>
      </w:r>
      <w:r w:rsidR="00380531" w:rsidRPr="008D030B">
        <w:rPr>
          <w:color w:val="auto"/>
        </w:rPr>
        <w:t>1</w:t>
      </w:r>
      <w:r w:rsidR="00F62E1B" w:rsidRPr="008D030B">
        <w:rPr>
          <w:color w:val="auto"/>
        </w:rPr>
        <w:t>,</w:t>
      </w:r>
      <w:r w:rsidR="008D030B" w:rsidRPr="008D030B">
        <w:rPr>
          <w:color w:val="auto"/>
        </w:rPr>
        <w:t>5</w:t>
      </w:r>
      <w:r w:rsidR="005A434C" w:rsidRPr="008D030B">
        <w:rPr>
          <w:color w:val="auto"/>
        </w:rPr>
        <w:t xml:space="preserve"> </w:t>
      </w:r>
      <w:r w:rsidR="00407426">
        <w:rPr>
          <w:color w:val="auto"/>
        </w:rPr>
        <w:t>(</w:t>
      </w:r>
      <w:r w:rsidR="00407426" w:rsidRPr="008D030B">
        <w:rPr>
          <w:color w:val="auto"/>
        </w:rPr>
        <w:t>82,4% vs 83,9%</w:t>
      </w:r>
      <w:r w:rsidR="00407426">
        <w:rPr>
          <w:color w:val="auto"/>
        </w:rPr>
        <w:t>)</w:t>
      </w:r>
      <w:r w:rsidR="00407426" w:rsidRPr="008D030B">
        <w:rPr>
          <w:color w:val="auto"/>
        </w:rPr>
        <w:t xml:space="preserve"> </w:t>
      </w:r>
      <w:r w:rsidR="00F62E1B" w:rsidRPr="008D030B">
        <w:rPr>
          <w:color w:val="auto"/>
        </w:rPr>
        <w:t xml:space="preserve">e </w:t>
      </w:r>
      <w:r w:rsidR="00380531" w:rsidRPr="008D030B">
        <w:rPr>
          <w:color w:val="auto"/>
        </w:rPr>
        <w:t>4</w:t>
      </w:r>
      <w:r w:rsidR="00E66A25" w:rsidRPr="008D030B">
        <w:rPr>
          <w:color w:val="auto"/>
        </w:rPr>
        <w:t>,</w:t>
      </w:r>
      <w:r w:rsidR="008D030B" w:rsidRPr="008D030B">
        <w:rPr>
          <w:color w:val="auto"/>
        </w:rPr>
        <w:t>5</w:t>
      </w:r>
      <w:r w:rsidR="00DE4D9C" w:rsidRPr="008D030B">
        <w:rPr>
          <w:color w:val="auto"/>
        </w:rPr>
        <w:t xml:space="preserve"> </w:t>
      </w:r>
      <w:r w:rsidR="009A25F3" w:rsidRPr="008D030B">
        <w:rPr>
          <w:color w:val="auto"/>
        </w:rPr>
        <w:t>punti percentuali (</w:t>
      </w:r>
      <w:r w:rsidR="008D030B" w:rsidRPr="008D030B">
        <w:rPr>
          <w:color w:val="auto"/>
        </w:rPr>
        <w:t>5,7</w:t>
      </w:r>
      <w:r w:rsidR="009A25F3" w:rsidRPr="008D030B">
        <w:rPr>
          <w:color w:val="auto"/>
        </w:rPr>
        <w:t xml:space="preserve">% vs </w:t>
      </w:r>
      <w:r w:rsidR="008D030B" w:rsidRPr="008D030B">
        <w:rPr>
          <w:color w:val="auto"/>
        </w:rPr>
        <w:t>10</w:t>
      </w:r>
      <w:r w:rsidR="00E66A25" w:rsidRPr="008D030B">
        <w:rPr>
          <w:color w:val="auto"/>
        </w:rPr>
        <w:t>,</w:t>
      </w:r>
      <w:r w:rsidR="008D030B" w:rsidRPr="008D030B">
        <w:rPr>
          <w:color w:val="auto"/>
        </w:rPr>
        <w:t>2</w:t>
      </w:r>
      <w:r w:rsidR="009A25F3" w:rsidRPr="008D030B">
        <w:rPr>
          <w:color w:val="auto"/>
        </w:rPr>
        <w:t xml:space="preserve">%) </w:t>
      </w:r>
      <w:r w:rsidR="00F62E1B" w:rsidRPr="008D030B">
        <w:rPr>
          <w:color w:val="auto"/>
        </w:rPr>
        <w:t>nonostante l’inizio più tardivo e l</w:t>
      </w:r>
      <w:r w:rsidR="002349E6" w:rsidRPr="008D030B">
        <w:rPr>
          <w:color w:val="auto"/>
        </w:rPr>
        <w:t xml:space="preserve">’estesa </w:t>
      </w:r>
      <w:r w:rsidR="00B8370F" w:rsidRPr="008D030B">
        <w:rPr>
          <w:color w:val="auto"/>
        </w:rPr>
        <w:t xml:space="preserve">platea </w:t>
      </w:r>
      <w:r w:rsidR="00D5251A" w:rsidRPr="008D030B">
        <w:rPr>
          <w:color w:val="auto"/>
        </w:rPr>
        <w:t>v</w:t>
      </w:r>
      <w:r w:rsidR="00B8370F" w:rsidRPr="008D030B">
        <w:rPr>
          <w:color w:val="auto"/>
        </w:rPr>
        <w:t>accinabile</w:t>
      </w:r>
      <w:r w:rsidR="00B91A74" w:rsidRPr="008D030B">
        <w:rPr>
          <w:color w:val="auto"/>
        </w:rPr>
        <w:t>.</w:t>
      </w:r>
    </w:p>
    <w:p w:rsidR="003A149B" w:rsidRPr="008751B7" w:rsidRDefault="00372B2C" w:rsidP="00E66A2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8751B7">
        <w:rPr>
          <w:rFonts w:eastAsia="Times New Roman"/>
          <w:b/>
          <w:color w:val="auto"/>
        </w:rPr>
        <w:t>Vaccini: efficacia.</w:t>
      </w:r>
      <w:r w:rsidRPr="008751B7">
        <w:rPr>
          <w:rFonts w:eastAsia="Times New Roman"/>
          <w:color w:val="auto"/>
        </w:rPr>
        <w:t xml:space="preserve"> I </w:t>
      </w:r>
      <w:hyperlink r:id="rId13" w:history="1">
        <w:r w:rsidRPr="008751B7">
          <w:rPr>
            <w:rStyle w:val="Collegamentoipertestuale"/>
            <w:color w:val="auto"/>
          </w:rPr>
          <w:t>dati dell’Istituto Superiore di Sanità</w:t>
        </w:r>
      </w:hyperlink>
      <w:r w:rsidR="00945FDF" w:rsidRPr="008751B7">
        <w:rPr>
          <w:color w:val="auto"/>
        </w:rPr>
        <w:t xml:space="preserve"> dimostrano </w:t>
      </w:r>
      <w:r w:rsidR="00820300" w:rsidRPr="008751B7">
        <w:rPr>
          <w:color w:val="auto"/>
        </w:rPr>
        <w:t>che</w:t>
      </w:r>
      <w:r w:rsidR="003A149B" w:rsidRPr="008751B7">
        <w:rPr>
          <w:color w:val="auto"/>
        </w:rPr>
        <w:t>:</w:t>
      </w:r>
    </w:p>
    <w:p w:rsidR="003A149B" w:rsidRPr="008751B7" w:rsidRDefault="003A149B" w:rsidP="003A149B">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8751B7">
        <w:rPr>
          <w:color w:val="auto"/>
        </w:rPr>
        <w:t xml:space="preserve">l’efficacia sulla diagnosi </w:t>
      </w:r>
      <w:r w:rsidR="00956F70">
        <w:rPr>
          <w:color w:val="auto"/>
        </w:rPr>
        <w:t>rimane</w:t>
      </w:r>
      <w:r w:rsidR="00956F70" w:rsidRPr="008751B7">
        <w:rPr>
          <w:color w:val="auto"/>
        </w:rPr>
        <w:t xml:space="preserve"> </w:t>
      </w:r>
      <w:r w:rsidRPr="008751B7">
        <w:rPr>
          <w:color w:val="auto"/>
        </w:rPr>
        <w:t xml:space="preserve">sostanzialmente stabile dal </w:t>
      </w:r>
      <w:r w:rsidR="00713F55">
        <w:rPr>
          <w:color w:val="auto"/>
        </w:rPr>
        <w:t>51</w:t>
      </w:r>
      <w:r w:rsidRPr="008751B7">
        <w:rPr>
          <w:color w:val="auto"/>
        </w:rPr>
        <w:t>% per i vaccinati con</w:t>
      </w:r>
      <w:r w:rsidR="008751B7" w:rsidRPr="008751B7">
        <w:rPr>
          <w:color w:val="auto"/>
        </w:rPr>
        <w:t xml:space="preserve"> due dosi entro 90 giorni al 4</w:t>
      </w:r>
      <w:r w:rsidR="00713F55">
        <w:rPr>
          <w:color w:val="auto"/>
        </w:rPr>
        <w:t>9,2</w:t>
      </w:r>
      <w:r w:rsidRPr="008751B7">
        <w:rPr>
          <w:color w:val="auto"/>
        </w:rPr>
        <w:t>% per i vaccinati da più di 120 giorni</w:t>
      </w:r>
      <w:r w:rsidR="00956F70">
        <w:rPr>
          <w:color w:val="auto"/>
        </w:rPr>
        <w:t>, per poi salire</w:t>
      </w:r>
      <w:r w:rsidRPr="008751B7">
        <w:rPr>
          <w:color w:val="auto"/>
        </w:rPr>
        <w:t xml:space="preserve"> al 6</w:t>
      </w:r>
      <w:r w:rsidR="00713F55">
        <w:rPr>
          <w:color w:val="auto"/>
        </w:rPr>
        <w:t>6</w:t>
      </w:r>
      <w:r w:rsidRPr="008751B7">
        <w:rPr>
          <w:color w:val="auto"/>
        </w:rPr>
        <w:t xml:space="preserve">% dopo il richiamo; </w:t>
      </w:r>
    </w:p>
    <w:p w:rsidR="003A149B" w:rsidRPr="008751B7" w:rsidRDefault="003A149B" w:rsidP="003A149B">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8751B7">
        <w:rPr>
          <w:color w:val="auto"/>
        </w:rPr>
        <w:t xml:space="preserve">l’efficacia sulla malattia severa </w:t>
      </w:r>
      <w:r w:rsidR="00956F70">
        <w:rPr>
          <w:color w:val="auto"/>
        </w:rPr>
        <w:t>rimane</w:t>
      </w:r>
      <w:r w:rsidR="00956F70" w:rsidRPr="008751B7">
        <w:rPr>
          <w:color w:val="auto"/>
        </w:rPr>
        <w:t xml:space="preserve"> </w:t>
      </w:r>
      <w:r w:rsidRPr="008751B7">
        <w:rPr>
          <w:color w:val="auto"/>
        </w:rPr>
        <w:t xml:space="preserve">sostanzialmente stabile dal </w:t>
      </w:r>
      <w:r w:rsidR="008751B7" w:rsidRPr="008751B7">
        <w:rPr>
          <w:color w:val="auto"/>
        </w:rPr>
        <w:t>7</w:t>
      </w:r>
      <w:r w:rsidR="00713F55">
        <w:rPr>
          <w:color w:val="auto"/>
        </w:rPr>
        <w:t>3</w:t>
      </w:r>
      <w:r w:rsidR="008751B7" w:rsidRPr="008751B7">
        <w:rPr>
          <w:color w:val="auto"/>
        </w:rPr>
        <w:t>,</w:t>
      </w:r>
      <w:r w:rsidR="00713F55">
        <w:rPr>
          <w:color w:val="auto"/>
        </w:rPr>
        <w:t>1</w:t>
      </w:r>
      <w:r w:rsidRPr="008751B7">
        <w:rPr>
          <w:color w:val="auto"/>
        </w:rPr>
        <w:t>% per i vaccinati con due dosi entro 90 giorni al 7</w:t>
      </w:r>
      <w:r w:rsidR="008751B7" w:rsidRPr="008751B7">
        <w:rPr>
          <w:color w:val="auto"/>
        </w:rPr>
        <w:t>4</w:t>
      </w:r>
      <w:r w:rsidRPr="008751B7">
        <w:rPr>
          <w:color w:val="auto"/>
        </w:rPr>
        <w:t>,</w:t>
      </w:r>
      <w:r w:rsidR="00713F55">
        <w:rPr>
          <w:color w:val="auto"/>
        </w:rPr>
        <w:t>5</w:t>
      </w:r>
      <w:r w:rsidRPr="008751B7">
        <w:rPr>
          <w:color w:val="auto"/>
        </w:rPr>
        <w:t xml:space="preserve">% per i </w:t>
      </w:r>
      <w:r w:rsidR="00820300" w:rsidRPr="008751B7">
        <w:rPr>
          <w:color w:val="auto"/>
        </w:rPr>
        <w:t>vaccinati da più di 120 giorni</w:t>
      </w:r>
      <w:r w:rsidR="00956F70">
        <w:rPr>
          <w:color w:val="auto"/>
        </w:rPr>
        <w:t>, per poi salire</w:t>
      </w:r>
      <w:r w:rsidR="00820300" w:rsidRPr="008751B7">
        <w:rPr>
          <w:color w:val="auto"/>
        </w:rPr>
        <w:t xml:space="preserve"> </w:t>
      </w:r>
      <w:r w:rsidRPr="008751B7">
        <w:rPr>
          <w:color w:val="auto"/>
        </w:rPr>
        <w:t>al 9</w:t>
      </w:r>
      <w:r w:rsidR="008751B7" w:rsidRPr="008751B7">
        <w:rPr>
          <w:color w:val="auto"/>
        </w:rPr>
        <w:t>0</w:t>
      </w:r>
      <w:r w:rsidRPr="008751B7">
        <w:rPr>
          <w:color w:val="auto"/>
        </w:rPr>
        <w:t>,</w:t>
      </w:r>
      <w:r w:rsidR="00713F55">
        <w:rPr>
          <w:color w:val="auto"/>
        </w:rPr>
        <w:t>4</w:t>
      </w:r>
      <w:r w:rsidRPr="008751B7">
        <w:rPr>
          <w:color w:val="auto"/>
        </w:rPr>
        <w:t>% dopo il richiamo.</w:t>
      </w:r>
    </w:p>
    <w:p w:rsidR="00713F55" w:rsidRDefault="00713F55" w:rsidP="00407426">
      <w:pPr>
        <w:spacing w:line="276" w:lineRule="auto"/>
        <w:jc w:val="both"/>
        <w:rPr>
          <w:color w:val="auto"/>
        </w:rPr>
      </w:pPr>
      <w:r w:rsidRPr="00713F55">
        <w:rPr>
          <w:color w:val="auto"/>
        </w:rPr>
        <w:t xml:space="preserve">Complessivamente nelle persone vaccinate con ciclo completo (più eventuale dose di richiamo), rispetto a quelle non vaccinate, nelle varie fasce d’età si riduce l’incidenza di diagnosi (del </w:t>
      </w:r>
      <w:r>
        <w:rPr>
          <w:color w:val="auto"/>
        </w:rPr>
        <w:t>18,5</w:t>
      </w:r>
      <w:r w:rsidRPr="00713F55">
        <w:rPr>
          <w:color w:val="auto"/>
        </w:rPr>
        <w:t>-60,1%)</w:t>
      </w:r>
      <w:r>
        <w:rPr>
          <w:color w:val="auto"/>
        </w:rPr>
        <w:t>: fa eccezione la fascia 5-11 per la quale le diagnosi tra i vaccinati segnano un +23,4% rispetto ai non vaccinati. In tutte le fasce di età</w:t>
      </w:r>
      <w:r w:rsidRPr="00CF6A71">
        <w:rPr>
          <w:color w:val="auto"/>
        </w:rPr>
        <w:t xml:space="preserve"> </w:t>
      </w:r>
      <w:r>
        <w:rPr>
          <w:color w:val="auto"/>
        </w:rPr>
        <w:t xml:space="preserve">si riduce </w:t>
      </w:r>
      <w:r w:rsidRPr="00CF6A71">
        <w:rPr>
          <w:color w:val="auto"/>
        </w:rPr>
        <w:t>soprattutto</w:t>
      </w:r>
      <w:r w:rsidRPr="00713F55">
        <w:rPr>
          <w:color w:val="auto"/>
        </w:rPr>
        <w:t xml:space="preserve"> </w:t>
      </w:r>
      <w:r>
        <w:rPr>
          <w:color w:val="auto"/>
        </w:rPr>
        <w:t>l’incidenza</w:t>
      </w:r>
      <w:r w:rsidRPr="00713F55">
        <w:rPr>
          <w:color w:val="auto"/>
        </w:rPr>
        <w:t xml:space="preserve"> di malattia grave (del 31,7-83,7% per ricoveri ordinari; del 61,2-86,6% per le terapie intensive) e decesso (del 60,1-89,8%) (</w:t>
      </w:r>
      <w:r w:rsidRPr="00713F55">
        <w:rPr>
          <w:color w:val="auto"/>
          <w:highlight w:val="yellow"/>
        </w:rPr>
        <w:t xml:space="preserve">figura </w:t>
      </w:r>
      <w:r w:rsidR="004C731C">
        <w:rPr>
          <w:color w:val="auto"/>
          <w:highlight w:val="yellow"/>
        </w:rPr>
        <w:t>20</w:t>
      </w:r>
      <w:r w:rsidRPr="00713F55">
        <w:rPr>
          <w:color w:val="auto"/>
        </w:rPr>
        <w:t>).</w:t>
      </w:r>
    </w:p>
    <w:p w:rsidR="004262FC" w:rsidRDefault="004262FC" w:rsidP="00407426">
      <w:pPr>
        <w:spacing w:line="276" w:lineRule="auto"/>
        <w:jc w:val="both"/>
      </w:pPr>
      <w:r w:rsidRPr="00EE0F0A">
        <w:t>«</w:t>
      </w:r>
      <w:r w:rsidR="006E55DD">
        <w:t>A una decina di giorni dal 1</w:t>
      </w:r>
      <w:r w:rsidR="00CF5823">
        <w:t>°</w:t>
      </w:r>
      <w:r w:rsidR="006E55DD">
        <w:t xml:space="preserve"> </w:t>
      </w:r>
      <w:r>
        <w:t xml:space="preserve">maggio </w:t>
      </w:r>
      <w:r w:rsidRPr="00EE0F0A">
        <w:t>–</w:t>
      </w:r>
      <w:r>
        <w:t xml:space="preserve"> conclude </w:t>
      </w:r>
      <w:r w:rsidRPr="00EE0F0A">
        <w:t xml:space="preserve">il Presidente – </w:t>
      </w:r>
      <w:r>
        <w:t xml:space="preserve">data in cui dovrebbe decadere l’obbligo delle mascherine al chiuso, tutte le curve </w:t>
      </w:r>
      <w:r w:rsidRPr="00EE0F0A">
        <w:t xml:space="preserve">(nuovi casi, ricoveri, terapie intensive, decessi) </w:t>
      </w:r>
      <w:r>
        <w:t>si mantengono in una fase di plateau con liev</w:t>
      </w:r>
      <w:r w:rsidR="001749DD">
        <w:t xml:space="preserve">e </w:t>
      </w:r>
      <w:r>
        <w:t xml:space="preserve">tendenza alla flessione. Tuttavia, </w:t>
      </w:r>
      <w:r w:rsidRPr="00EE0F0A">
        <w:t xml:space="preserve">la circolazione del virus rimane ancora molto elevata: </w:t>
      </w:r>
      <w:r>
        <w:t xml:space="preserve">il numero di positivi, verosimilmente sottostimato, </w:t>
      </w:r>
      <w:r w:rsidR="00CF5823">
        <w:t>supera quota</w:t>
      </w:r>
      <w:r>
        <w:t xml:space="preserve"> </w:t>
      </w:r>
      <w:r w:rsidRPr="00EE0F0A">
        <w:t xml:space="preserve">1,2 milioni, </w:t>
      </w:r>
      <w:r>
        <w:t>i nuovi casi giornalieri</w:t>
      </w:r>
      <w:r w:rsidR="00CF5823">
        <w:t xml:space="preserve"> si mantengono</w:t>
      </w:r>
      <w:r>
        <w:t xml:space="preserve"> </w:t>
      </w:r>
      <w:r w:rsidRPr="00EE0F0A">
        <w:t xml:space="preserve">oltre </w:t>
      </w:r>
      <w:r>
        <w:t xml:space="preserve">50 </w:t>
      </w:r>
      <w:r w:rsidRPr="00EE0F0A">
        <w:t>mila</w:t>
      </w:r>
      <w:r>
        <w:t xml:space="preserve"> e il</w:t>
      </w:r>
      <w:r w:rsidRPr="00EE0F0A">
        <w:t xml:space="preserve"> tasso di positività dei tamponi </w:t>
      </w:r>
      <w:r w:rsidR="001749DD">
        <w:rPr>
          <w:color w:val="auto"/>
        </w:rPr>
        <w:t>supera</w:t>
      </w:r>
      <w:r w:rsidRPr="009619D7">
        <w:rPr>
          <w:color w:val="auto"/>
        </w:rPr>
        <w:t xml:space="preserve"> </w:t>
      </w:r>
      <w:r w:rsidR="001749DD">
        <w:rPr>
          <w:color w:val="auto"/>
        </w:rPr>
        <w:t xml:space="preserve">il </w:t>
      </w:r>
      <w:r w:rsidR="00CF5823" w:rsidRPr="009619D7">
        <w:rPr>
          <w:color w:val="auto"/>
        </w:rPr>
        <w:t>15</w:t>
      </w:r>
      <w:r w:rsidRPr="009619D7">
        <w:rPr>
          <w:color w:val="auto"/>
        </w:rPr>
        <w:t xml:space="preserve">%. </w:t>
      </w:r>
      <w:r w:rsidR="00AF2607">
        <w:rPr>
          <w:color w:val="auto"/>
        </w:rPr>
        <w:t xml:space="preserve">Di conseguenza, </w:t>
      </w:r>
      <w:r w:rsidR="00AF2607">
        <w:t xml:space="preserve">abolire l’obbligo di mascherina </w:t>
      </w:r>
      <w:r w:rsidR="00772548">
        <w:t>ne</w:t>
      </w:r>
      <w:r w:rsidR="006E55DD">
        <w:t xml:space="preserve">i </w:t>
      </w:r>
      <w:r w:rsidR="00AF2607">
        <w:t xml:space="preserve">locali al chiuso </w:t>
      </w:r>
      <w:r w:rsidR="00B10EED">
        <w:t xml:space="preserve">è una decisione </w:t>
      </w:r>
      <w:r w:rsidR="00AF2607">
        <w:t xml:space="preserve">molto </w:t>
      </w:r>
      <w:r w:rsidR="00B10EED">
        <w:t>avventata</w:t>
      </w:r>
      <w:r w:rsidR="00AF2607">
        <w:t xml:space="preserve"> per tre ragioni</w:t>
      </w:r>
      <w:r w:rsidR="006E55DD">
        <w:t>: i</w:t>
      </w:r>
      <w:r w:rsidR="00AF2607">
        <w:t xml:space="preserve">nnanzitutto, nei locali affollati e/o scarsamente aerati la probabilità di contagio è molto elevata; </w:t>
      </w:r>
      <w:r>
        <w:t xml:space="preserve">in </w:t>
      </w:r>
      <w:r w:rsidR="00AF2607">
        <w:t>secondo luogo, la vaccinazione offre una protezione parziale dal contagio; infine</w:t>
      </w:r>
      <w:r w:rsidR="001749DD">
        <w:t xml:space="preserve">, </w:t>
      </w:r>
      <w:r w:rsidR="00AF2607">
        <w:t xml:space="preserve">ci sono milioni di </w:t>
      </w:r>
      <w:r w:rsidR="001749DD">
        <w:t>persone suscettibili, non vaccinate o senza booster</w:t>
      </w:r>
      <w:r w:rsidR="00FC37E0">
        <w:t xml:space="preserve">. </w:t>
      </w:r>
      <w:r w:rsidR="00AF2607">
        <w:t>U</w:t>
      </w:r>
      <w:r w:rsidR="00FC37E0">
        <w:t>tile ribadire che la protezione individuale è massimizzata con la mascherina FFP2 e non con quella chirurgica, poco efficace nei confronti di omicron</w:t>
      </w:r>
      <w:r w:rsidRPr="00EE0F0A">
        <w:t>».</w:t>
      </w:r>
    </w:p>
    <w:p w:rsidR="00FC37E0" w:rsidRDefault="00FC37E0" w:rsidP="00CF5823">
      <w:pPr>
        <w:jc w:val="both"/>
      </w:pP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4" w:history="1">
        <w:r w:rsidR="00CE577D" w:rsidRPr="00234B97">
          <w:rPr>
            <w:rStyle w:val="Hyperlink0"/>
          </w:rPr>
          <w:t>https://coronavirus.gimbe.org</w:t>
        </w:r>
      </w:hyperlink>
    </w:p>
    <w:p w:rsidR="009B392C" w:rsidRDefault="009B392C" w:rsidP="00BD67DE">
      <w:pPr>
        <w:spacing w:after="120" w:line="276" w:lineRule="auto"/>
        <w:rPr>
          <w:rStyle w:val="Hyperlink0"/>
        </w:rPr>
      </w:pPr>
    </w:p>
    <w:p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5" w:history="1">
        <w:r w:rsidRPr="00234B97">
          <w:rPr>
            <w:rStyle w:val="Hyperlink1"/>
          </w:rPr>
          <w:t>ufficio.stampa@gimbe.org</w:t>
        </w:r>
      </w:hyperlink>
      <w:bookmarkStart w:id="1" w:name="_GoBack"/>
      <w:bookmarkEnd w:id="1"/>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276F49">
      <w:pPr>
        <w:jc w:val="center"/>
        <w:rPr>
          <w:b/>
          <w:bCs/>
          <w:color w:val="00457D"/>
          <w:sz w:val="24"/>
          <w:szCs w:val="24"/>
          <w:u w:color="00457D"/>
        </w:rPr>
      </w:pPr>
      <w:r>
        <w:rPr>
          <w:b/>
          <w:bCs/>
          <w:noProof/>
          <w:color w:val="00457D"/>
          <w:sz w:val="24"/>
          <w:szCs w:val="24"/>
          <w:u w:color="00457D"/>
        </w:rPr>
        <w:drawing>
          <wp:inline distT="0" distB="0" distL="0" distR="0" wp14:anchorId="7ADAB428" wp14:editId="333E4FDA">
            <wp:extent cx="5760000" cy="3193390"/>
            <wp:effectExtent l="0" t="0" r="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276F49">
        <w:rPr>
          <w:b/>
          <w:bCs/>
          <w:noProof/>
          <w:color w:val="00457D"/>
          <w:sz w:val="24"/>
          <w:szCs w:val="24"/>
          <w:u w:color="00457D"/>
        </w:rPr>
        <w:drawing>
          <wp:inline distT="0" distB="0" distL="0" distR="0" wp14:anchorId="788A38A1" wp14:editId="69AB81E8">
            <wp:extent cx="5760000" cy="3192521"/>
            <wp:effectExtent l="0" t="0" r="0" b="825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rsidSect="005B4AE1">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276F49"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73A38036" wp14:editId="627A9D23">
            <wp:extent cx="9360000" cy="4810624"/>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557ACD" w:rsidP="00E10DC3">
      <w:pPr>
        <w:spacing w:after="0"/>
        <w:jc w:val="center"/>
        <w:rPr>
          <w:color w:val="auto"/>
        </w:rPr>
      </w:pPr>
      <w:r>
        <w:rPr>
          <w:noProof/>
          <w:color w:val="auto"/>
        </w:rPr>
        <w:drawing>
          <wp:inline distT="0" distB="0" distL="0" distR="0" wp14:anchorId="14EB3BEE" wp14:editId="1F66E8BD">
            <wp:extent cx="5760000" cy="2814192"/>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557ACD" w:rsidP="000E770E">
      <w:pPr>
        <w:spacing w:after="0" w:line="276" w:lineRule="auto"/>
        <w:jc w:val="center"/>
        <w:rPr>
          <w:color w:val="auto"/>
        </w:rPr>
      </w:pPr>
      <w:r>
        <w:rPr>
          <w:noProof/>
          <w:color w:val="auto"/>
        </w:rPr>
        <w:drawing>
          <wp:inline distT="0" distB="0" distL="0" distR="0" wp14:anchorId="49FB54E1" wp14:editId="49F41ABF">
            <wp:extent cx="5760000" cy="3118094"/>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557ACD"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34B2F784" wp14:editId="50CE4C88">
            <wp:extent cx="5760000" cy="307239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072390"/>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7</w:t>
      </w:r>
    </w:p>
    <w:p w:rsidR="008751B7" w:rsidRDefault="00557ACD"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155AE57C" wp14:editId="5B2284FC">
            <wp:extent cx="5760000" cy="288591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885919"/>
                    </a:xfrm>
                    <a:prstGeom prst="rect">
                      <a:avLst/>
                    </a:prstGeom>
                    <a:noFill/>
                  </pic:spPr>
                </pic:pic>
              </a:graphicData>
            </a:graphic>
          </wp:inline>
        </w:drawing>
      </w:r>
    </w:p>
    <w:p w:rsidR="008751B7" w:rsidRDefault="008751B7" w:rsidP="008751B7">
      <w:pPr>
        <w:spacing w:after="0"/>
        <w:jc w:val="center"/>
        <w:rPr>
          <w:b/>
          <w:bCs/>
          <w:color w:val="00457D"/>
          <w:sz w:val="24"/>
          <w:szCs w:val="24"/>
          <w:u w:color="00457D"/>
        </w:rPr>
      </w:pP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8751B7" w:rsidRPr="00380531" w:rsidRDefault="008751B7" w:rsidP="008751B7">
      <w:pPr>
        <w:spacing w:after="0"/>
        <w:jc w:val="center"/>
        <w:rPr>
          <w:b/>
          <w:bCs/>
          <w:color w:val="00457D"/>
          <w:sz w:val="24"/>
          <w:szCs w:val="24"/>
          <w:u w:color="00457D"/>
        </w:rPr>
      </w:pPr>
      <w:r w:rsidRPr="00380531">
        <w:rPr>
          <w:b/>
          <w:bCs/>
          <w:color w:val="00457D"/>
          <w:sz w:val="24"/>
          <w:szCs w:val="24"/>
          <w:u w:color="00457D"/>
        </w:rPr>
        <w:lastRenderedPageBreak/>
        <w:t>Figura 8</w:t>
      </w:r>
    </w:p>
    <w:p w:rsidR="00D93FAE" w:rsidRPr="00D93FAE" w:rsidRDefault="0067561F"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5654A790" wp14:editId="08AD2E5C">
            <wp:extent cx="5760000" cy="5353661"/>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5353661"/>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8751B7">
        <w:rPr>
          <w:b/>
          <w:bCs/>
          <w:color w:val="00457D"/>
          <w:sz w:val="24"/>
          <w:szCs w:val="24"/>
          <w:u w:color="00457D"/>
        </w:rPr>
        <w:t>9</w:t>
      </w:r>
    </w:p>
    <w:p w:rsidR="003274E5" w:rsidRDefault="00557ACD"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76D83A3D" wp14:editId="603F268D">
            <wp:extent cx="5760000" cy="2792940"/>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7B5BBD" w:rsidRDefault="007B5BBD" w:rsidP="005E411F">
      <w:pPr>
        <w:spacing w:after="0" w:line="240" w:lineRule="auto"/>
        <w:jc w:val="center"/>
        <w:rPr>
          <w:b/>
          <w:bCs/>
          <w:color w:val="00457D"/>
          <w:sz w:val="24"/>
          <w:szCs w:val="24"/>
          <w:u w:color="00457D"/>
        </w:rPr>
      </w:pP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lastRenderedPageBreak/>
        <w:t>Figura</w:t>
      </w:r>
      <w:r w:rsidR="001E3B61">
        <w:rPr>
          <w:b/>
          <w:bCs/>
          <w:color w:val="00457D"/>
          <w:sz w:val="24"/>
          <w:szCs w:val="24"/>
          <w:u w:color="00457D"/>
        </w:rPr>
        <w:t xml:space="preserve"> </w:t>
      </w:r>
      <w:r w:rsidR="008751B7">
        <w:rPr>
          <w:b/>
          <w:bCs/>
          <w:color w:val="00457D"/>
          <w:sz w:val="24"/>
          <w:szCs w:val="24"/>
          <w:u w:color="00457D"/>
        </w:rPr>
        <w:t>10</w:t>
      </w:r>
    </w:p>
    <w:p w:rsidR="00542585" w:rsidRDefault="0038657C" w:rsidP="00F529F2">
      <w:pPr>
        <w:jc w:val="center"/>
        <w:rPr>
          <w:b/>
          <w:bCs/>
          <w:color w:val="00457D"/>
          <w:sz w:val="24"/>
          <w:szCs w:val="24"/>
          <w:u w:color="00457D"/>
        </w:rPr>
      </w:pPr>
      <w:r>
        <w:rPr>
          <w:b/>
          <w:bCs/>
          <w:noProof/>
          <w:color w:val="00457D"/>
          <w:sz w:val="24"/>
          <w:szCs w:val="24"/>
          <w:u w:color="00457D"/>
        </w:rPr>
        <w:drawing>
          <wp:inline distT="0" distB="0" distL="0" distR="0" wp14:anchorId="71B6DABE" wp14:editId="0EF29DF7">
            <wp:extent cx="5760000" cy="4510939"/>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510939"/>
                    </a:xfrm>
                    <a:prstGeom prst="rect">
                      <a:avLst/>
                    </a:prstGeom>
                    <a:noFill/>
                  </pic:spPr>
                </pic:pic>
              </a:graphicData>
            </a:graphic>
          </wp:inline>
        </w:drawing>
      </w:r>
    </w:p>
    <w:p w:rsidR="001C70B3" w:rsidRPr="008751B7" w:rsidRDefault="001C70B3" w:rsidP="008751B7">
      <w:pPr>
        <w:spacing w:after="0"/>
        <w:jc w:val="center"/>
        <w:rPr>
          <w:b/>
          <w:bCs/>
          <w:color w:val="00457D"/>
          <w:sz w:val="18"/>
          <w:szCs w:val="24"/>
          <w:u w:color="00457D"/>
        </w:rPr>
      </w:pPr>
    </w:p>
    <w:p w:rsidR="00303AA0" w:rsidRDefault="004B6DC2" w:rsidP="008751B7">
      <w:pPr>
        <w:spacing w:after="0" w:line="240" w:lineRule="auto"/>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1</w:t>
      </w:r>
      <w:r w:rsidR="008751B7">
        <w:rPr>
          <w:b/>
          <w:bCs/>
          <w:color w:val="00457D"/>
          <w:sz w:val="24"/>
          <w:szCs w:val="24"/>
          <w:u w:color="00457D"/>
        </w:rPr>
        <w:t>1</w:t>
      </w:r>
    </w:p>
    <w:p w:rsidR="004B6DC2" w:rsidRDefault="0038657C"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CA2D8C9" wp14:editId="5E635881">
            <wp:extent cx="5760000" cy="3878793"/>
            <wp:effectExtent l="0" t="0" r="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878793"/>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8751B7">
        <w:rPr>
          <w:b/>
          <w:bCs/>
          <w:color w:val="00457D"/>
          <w:sz w:val="24"/>
          <w:szCs w:val="24"/>
          <w:u w:color="00457D"/>
        </w:rPr>
        <w:t>2</w:t>
      </w:r>
    </w:p>
    <w:p w:rsidR="001B3764" w:rsidRPr="00466C2D" w:rsidRDefault="0038657C"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44743A0" wp14:editId="5CFA2724">
            <wp:extent cx="5760000" cy="3657340"/>
            <wp:effectExtent l="0" t="0" r="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rsidR="00061647" w:rsidRDefault="00061647">
      <w:pPr>
        <w:spacing w:after="0" w:line="240" w:lineRule="auto"/>
        <w:rPr>
          <w:b/>
          <w:bCs/>
          <w:color w:val="00457D"/>
          <w:sz w:val="24"/>
          <w:szCs w:val="24"/>
          <w:u w:color="00457D"/>
        </w:rPr>
      </w:pP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t>Figura 1</w:t>
      </w:r>
      <w:r w:rsidR="008751B7">
        <w:rPr>
          <w:b/>
          <w:bCs/>
          <w:color w:val="00457D"/>
          <w:sz w:val="24"/>
          <w:szCs w:val="24"/>
          <w:u w:color="00457D"/>
        </w:rPr>
        <w:t>3</w:t>
      </w:r>
    </w:p>
    <w:p w:rsidR="003D05A8" w:rsidRDefault="0038657C"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03BC7E00" wp14:editId="713A8B62">
            <wp:extent cx="5760000" cy="3653478"/>
            <wp:effectExtent l="0" t="0" r="0" b="444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53478"/>
                    </a:xfrm>
                    <a:prstGeom prst="rect">
                      <a:avLst/>
                    </a:prstGeom>
                    <a:noFill/>
                  </pic:spPr>
                </pic:pic>
              </a:graphicData>
            </a:graphic>
          </wp:inline>
        </w:drawing>
      </w:r>
    </w:p>
    <w:p w:rsidR="00211923" w:rsidRPr="00466C2D" w:rsidRDefault="00211923" w:rsidP="00DF30EE">
      <w:pPr>
        <w:spacing w:after="0" w:line="240" w:lineRule="auto"/>
        <w:jc w:val="center"/>
        <w:rPr>
          <w:b/>
          <w:bCs/>
          <w:color w:val="00457D"/>
          <w:sz w:val="24"/>
          <w:szCs w:val="24"/>
          <w:u w:color="00457D"/>
        </w:rPr>
      </w:pP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lastRenderedPageBreak/>
        <w:t xml:space="preserve">Figura </w:t>
      </w:r>
      <w:r w:rsidR="00D022C4" w:rsidRPr="008049CF">
        <w:rPr>
          <w:b/>
          <w:bCs/>
          <w:color w:val="00457D"/>
          <w:sz w:val="24"/>
          <w:szCs w:val="24"/>
          <w:u w:color="00457D"/>
        </w:rPr>
        <w:t>1</w:t>
      </w:r>
      <w:r w:rsidR="008751B7">
        <w:rPr>
          <w:b/>
          <w:bCs/>
          <w:color w:val="00457D"/>
          <w:sz w:val="24"/>
          <w:szCs w:val="24"/>
          <w:u w:color="00457D"/>
        </w:rPr>
        <w:t>4</w:t>
      </w:r>
    </w:p>
    <w:p w:rsidR="00A15BB4" w:rsidRDefault="0038657C" w:rsidP="00012B67">
      <w:pPr>
        <w:spacing w:line="276" w:lineRule="auto"/>
        <w:jc w:val="center"/>
        <w:rPr>
          <w:color w:val="FF0000"/>
        </w:rPr>
      </w:pPr>
      <w:r>
        <w:rPr>
          <w:noProof/>
          <w:color w:val="FF0000"/>
        </w:rPr>
        <w:drawing>
          <wp:inline distT="0" distB="0" distL="0" distR="0" wp14:anchorId="6E021015" wp14:editId="602FDB9B">
            <wp:extent cx="5760000" cy="3634133"/>
            <wp:effectExtent l="0" t="0" r="0"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E03BC7" w:rsidRDefault="00E03BC7">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sidR="001E3B61">
        <w:rPr>
          <w:b/>
          <w:bCs/>
          <w:color w:val="00457D"/>
          <w:sz w:val="24"/>
          <w:szCs w:val="24"/>
          <w:u w:color="00457D"/>
        </w:rPr>
        <w:t>1</w:t>
      </w:r>
      <w:r w:rsidR="008751B7">
        <w:rPr>
          <w:b/>
          <w:bCs/>
          <w:color w:val="00457D"/>
          <w:sz w:val="24"/>
          <w:szCs w:val="24"/>
          <w:u w:color="00457D"/>
        </w:rPr>
        <w:t>5</w:t>
      </w:r>
    </w:p>
    <w:p w:rsidR="00061647" w:rsidRDefault="0038657C"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708AB64" wp14:editId="12A3EC41">
            <wp:extent cx="5760000" cy="4340335"/>
            <wp:effectExtent l="0" t="0" r="0" b="317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rsidR="00E03BC7" w:rsidRDefault="00E03BC7" w:rsidP="00E03BC7">
      <w:pPr>
        <w:spacing w:after="0" w:line="240" w:lineRule="auto"/>
        <w:jc w:val="center"/>
        <w:rPr>
          <w:b/>
          <w:bCs/>
          <w:color w:val="00457D"/>
          <w:sz w:val="24"/>
          <w:szCs w:val="24"/>
          <w:u w:color="00457D"/>
        </w:rPr>
      </w:pPr>
    </w:p>
    <w:p w:rsidR="008751B7" w:rsidRDefault="008751B7" w:rsidP="002B5AE9">
      <w:pPr>
        <w:spacing w:after="0" w:line="240" w:lineRule="auto"/>
        <w:jc w:val="center"/>
        <w:rPr>
          <w:b/>
          <w:bCs/>
          <w:color w:val="00457D"/>
          <w:sz w:val="24"/>
          <w:szCs w:val="24"/>
          <w:u w:color="00457D"/>
        </w:rPr>
      </w:pPr>
    </w:p>
    <w:p w:rsidR="001B2CE3" w:rsidRDefault="004B6DC2" w:rsidP="002B5AE9">
      <w:pPr>
        <w:spacing w:after="0" w:line="240" w:lineRule="auto"/>
        <w:jc w:val="center"/>
        <w:rPr>
          <w:b/>
          <w:bCs/>
          <w:color w:val="00457D"/>
          <w:sz w:val="24"/>
          <w:szCs w:val="24"/>
          <w:u w:color="00457D"/>
        </w:rPr>
      </w:pPr>
      <w:r w:rsidRPr="00D001BF">
        <w:rPr>
          <w:b/>
          <w:bCs/>
          <w:color w:val="00457D"/>
          <w:sz w:val="24"/>
          <w:szCs w:val="24"/>
          <w:u w:color="00457D"/>
        </w:rPr>
        <w:lastRenderedPageBreak/>
        <w:t xml:space="preserve">Figura </w:t>
      </w:r>
      <w:r w:rsidR="008751B7">
        <w:rPr>
          <w:b/>
          <w:bCs/>
          <w:color w:val="00457D"/>
          <w:sz w:val="24"/>
          <w:szCs w:val="24"/>
          <w:u w:color="00457D"/>
        </w:rPr>
        <w:t>16</w:t>
      </w:r>
    </w:p>
    <w:p w:rsidR="004B6DC2" w:rsidRDefault="0038657C" w:rsidP="00A462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5AB33AF" wp14:editId="03EA91A7">
            <wp:extent cx="5760000" cy="4295096"/>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295096"/>
                    </a:xfrm>
                    <a:prstGeom prst="rect">
                      <a:avLst/>
                    </a:prstGeom>
                    <a:noFill/>
                  </pic:spPr>
                </pic:pic>
              </a:graphicData>
            </a:graphic>
          </wp:inline>
        </w:drawing>
      </w:r>
    </w:p>
    <w:p w:rsidR="006E14AA" w:rsidRDefault="006E14AA" w:rsidP="00A462EE">
      <w:pPr>
        <w:spacing w:after="0" w:line="240" w:lineRule="auto"/>
        <w:jc w:val="center"/>
        <w:rPr>
          <w:b/>
          <w:bCs/>
          <w:color w:val="00457D"/>
          <w:sz w:val="24"/>
          <w:szCs w:val="24"/>
          <w:u w:color="00457D"/>
        </w:rPr>
      </w:pPr>
    </w:p>
    <w:p w:rsidR="00C359C9" w:rsidRDefault="00C359C9" w:rsidP="00C359C9">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w:t>
      </w:r>
      <w:r w:rsidR="001E3B61">
        <w:rPr>
          <w:b/>
          <w:bCs/>
          <w:color w:val="00457D"/>
          <w:sz w:val="24"/>
          <w:szCs w:val="24"/>
          <w:u w:color="00457D"/>
        </w:rPr>
        <w:t>1</w:t>
      </w:r>
      <w:r w:rsidR="008751B7">
        <w:rPr>
          <w:b/>
          <w:bCs/>
          <w:color w:val="00457D"/>
          <w:sz w:val="24"/>
          <w:szCs w:val="24"/>
          <w:u w:color="00457D"/>
        </w:rPr>
        <w:t>7</w:t>
      </w:r>
    </w:p>
    <w:p w:rsidR="006E14AA" w:rsidRDefault="0038657C"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8E2554F" wp14:editId="7DEFA6E4">
            <wp:extent cx="5760000" cy="349031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rsidR="006E14AA" w:rsidRDefault="006E14AA" w:rsidP="00C359C9">
      <w:pPr>
        <w:spacing w:after="0" w:line="240" w:lineRule="auto"/>
        <w:jc w:val="center"/>
        <w:rPr>
          <w:b/>
          <w:bCs/>
          <w:color w:val="00457D"/>
          <w:sz w:val="24"/>
          <w:szCs w:val="24"/>
          <w:u w:color="00457D"/>
        </w:rPr>
      </w:pP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8751B7">
        <w:rPr>
          <w:b/>
          <w:bCs/>
          <w:color w:val="00457D"/>
          <w:sz w:val="24"/>
          <w:szCs w:val="24"/>
          <w:u w:color="00457D"/>
        </w:rPr>
        <w:t>8</w:t>
      </w:r>
    </w:p>
    <w:p w:rsidR="007E1AAC" w:rsidRDefault="0038657C"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DE267F2" wp14:editId="21BA9724">
            <wp:extent cx="5760000" cy="4769169"/>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769169"/>
                    </a:xfrm>
                    <a:prstGeom prst="rect">
                      <a:avLst/>
                    </a:prstGeom>
                    <a:noFill/>
                  </pic:spPr>
                </pic:pic>
              </a:graphicData>
            </a:graphic>
          </wp:inline>
        </w:drawing>
      </w:r>
    </w:p>
    <w:p w:rsidR="00D71401" w:rsidRPr="00D71401" w:rsidRDefault="00D71401" w:rsidP="006E14AA">
      <w:pPr>
        <w:spacing w:after="0" w:line="240" w:lineRule="auto"/>
        <w:jc w:val="center"/>
        <w:rPr>
          <w:b/>
          <w:bCs/>
          <w:color w:val="00457D"/>
          <w:sz w:val="16"/>
          <w:szCs w:val="24"/>
          <w:u w:color="00457D"/>
        </w:rPr>
      </w:pPr>
    </w:p>
    <w:p w:rsidR="00D71401" w:rsidRDefault="00D71401">
      <w:pPr>
        <w:spacing w:after="0" w:line="240" w:lineRule="auto"/>
        <w:rPr>
          <w:b/>
          <w:bCs/>
          <w:color w:val="00457D"/>
          <w:sz w:val="24"/>
          <w:szCs w:val="24"/>
          <w:u w:color="00457D"/>
        </w:rPr>
      </w:pPr>
      <w:r>
        <w:rPr>
          <w:b/>
          <w:bCs/>
          <w:color w:val="00457D"/>
          <w:sz w:val="24"/>
          <w:szCs w:val="24"/>
          <w:u w:color="00457D"/>
        </w:rPr>
        <w:br w:type="page"/>
      </w:r>
    </w:p>
    <w:p w:rsidR="00D71401" w:rsidRDefault="00D71401" w:rsidP="006E14AA">
      <w:pPr>
        <w:spacing w:after="0" w:line="240" w:lineRule="auto"/>
        <w:jc w:val="center"/>
        <w:rPr>
          <w:b/>
          <w:bCs/>
          <w:color w:val="00457D"/>
          <w:sz w:val="24"/>
          <w:szCs w:val="24"/>
          <w:u w:color="00457D"/>
        </w:rPr>
      </w:pPr>
      <w:r>
        <w:rPr>
          <w:b/>
          <w:bCs/>
          <w:color w:val="00457D"/>
          <w:sz w:val="24"/>
          <w:szCs w:val="24"/>
          <w:u w:color="00457D"/>
        </w:rPr>
        <w:lastRenderedPageBreak/>
        <w:t>Figura 19</w:t>
      </w:r>
    </w:p>
    <w:p w:rsidR="00D71401" w:rsidRDefault="00D71401"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E450D08" wp14:editId="0A11B44A">
            <wp:extent cx="5760000" cy="4769166"/>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769166"/>
                    </a:xfrm>
                    <a:prstGeom prst="rect">
                      <a:avLst/>
                    </a:prstGeom>
                    <a:noFill/>
                  </pic:spPr>
                </pic:pic>
              </a:graphicData>
            </a:graphic>
          </wp:inline>
        </w:drawing>
      </w:r>
    </w:p>
    <w:p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4C731C">
        <w:rPr>
          <w:b/>
          <w:bCs/>
          <w:color w:val="00457D"/>
          <w:sz w:val="24"/>
          <w:szCs w:val="24"/>
          <w:u w:color="00457D"/>
        </w:rPr>
        <w:t>20</w:t>
      </w:r>
    </w:p>
    <w:p w:rsidR="004066D0" w:rsidRDefault="00713F55"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643E4031" wp14:editId="43317250">
            <wp:extent cx="9360000" cy="534020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60000" cy="5340207"/>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5B4AE1">
          <w:pgSz w:w="16840" w:h="11900" w:orient="landscape"/>
          <w:pgMar w:top="1134" w:right="1134" w:bottom="1134" w:left="1418" w:header="709" w:footer="709" w:gutter="0"/>
          <w:cols w:space="720"/>
          <w:docGrid w:linePitch="299"/>
        </w:sectPr>
      </w:pPr>
    </w:p>
    <w:p w:rsidR="006761A1" w:rsidRDefault="004D16FF" w:rsidP="00320817">
      <w:pPr>
        <w:spacing w:after="60" w:line="276" w:lineRule="auto"/>
        <w:jc w:val="center"/>
      </w:pPr>
      <w:r w:rsidRPr="00FE45DD">
        <w:rPr>
          <w:b/>
          <w:bCs/>
          <w:color w:val="00457D"/>
          <w:sz w:val="24"/>
          <w:szCs w:val="24"/>
          <w:u w:color="00457D"/>
        </w:rPr>
        <w:lastRenderedPageBreak/>
        <w:t xml:space="preserve">Tabella 1. Indicatori regionali: settimana </w:t>
      </w:r>
      <w:r w:rsidR="0038657C">
        <w:rPr>
          <w:b/>
          <w:bCs/>
          <w:color w:val="00457D"/>
          <w:sz w:val="24"/>
          <w:szCs w:val="24"/>
          <w:u w:color="00457D"/>
        </w:rPr>
        <w:t>13-19</w:t>
      </w:r>
      <w:r w:rsidR="005A434C">
        <w:rPr>
          <w:b/>
          <w:bCs/>
          <w:color w:val="00457D"/>
          <w:sz w:val="24"/>
          <w:szCs w:val="24"/>
          <w:u w:color="00457D"/>
        </w:rPr>
        <w:t xml:space="preserve"> aprile</w:t>
      </w:r>
      <w:r w:rsidRPr="00FE45DD">
        <w:rPr>
          <w:b/>
          <w:bCs/>
          <w:color w:val="00457D"/>
          <w:sz w:val="24"/>
          <w:szCs w:val="24"/>
          <w:u w:color="00457D"/>
        </w:rPr>
        <w:t xml:space="preserve"> 2022</w:t>
      </w:r>
    </w:p>
    <w:tbl>
      <w:tblPr>
        <w:tblW w:w="9654" w:type="dxa"/>
        <w:tblCellMar>
          <w:left w:w="0" w:type="dxa"/>
          <w:right w:w="0" w:type="dxa"/>
        </w:tblCellMar>
        <w:tblLook w:val="04A0" w:firstRow="1" w:lastRow="0" w:firstColumn="1" w:lastColumn="0" w:noHBand="0" w:noVBand="1"/>
      </w:tblPr>
      <w:tblGrid>
        <w:gridCol w:w="2000"/>
        <w:gridCol w:w="1660"/>
        <w:gridCol w:w="1458"/>
        <w:gridCol w:w="2268"/>
        <w:gridCol w:w="2268"/>
      </w:tblGrid>
      <w:tr w:rsidR="006761A1" w:rsidTr="00320817">
        <w:trPr>
          <w:trHeight w:val="907"/>
        </w:trPr>
        <w:tc>
          <w:tcPr>
            <w:tcW w:w="2000" w:type="dxa"/>
            <w:tcBorders>
              <w:top w:val="single" w:sz="4" w:space="0" w:color="00457D"/>
              <w:left w:val="single" w:sz="4" w:space="0" w:color="00457D"/>
              <w:bottom w:val="single" w:sz="4" w:space="0" w:color="00457D"/>
              <w:right w:val="single" w:sz="4" w:space="0" w:color="FFFFFF"/>
            </w:tcBorders>
            <w:shd w:val="clear" w:color="000000" w:fill="00457D"/>
            <w:tcMar>
              <w:top w:w="15" w:type="dxa"/>
              <w:left w:w="15" w:type="dxa"/>
              <w:bottom w:w="0" w:type="dxa"/>
              <w:right w:w="15" w:type="dxa"/>
            </w:tcMar>
            <w:vAlign w:val="center"/>
            <w:hideMark/>
          </w:tcPr>
          <w:p w:rsidR="006761A1" w:rsidRDefault="006761A1" w:rsidP="00320817">
            <w:pPr>
              <w:spacing w:after="0" w:line="240" w:lineRule="auto"/>
              <w:rPr>
                <w:rFonts w:cs="Calibri"/>
                <w:b/>
                <w:bCs/>
                <w:color w:val="FFFFFF"/>
              </w:rPr>
            </w:pPr>
            <w:r>
              <w:rPr>
                <w:rFonts w:cs="Calibri"/>
                <w:b/>
                <w:bCs/>
                <w:color w:val="FFFFFF"/>
              </w:rPr>
              <w:t>Regione</w:t>
            </w:r>
          </w:p>
        </w:tc>
        <w:tc>
          <w:tcPr>
            <w:tcW w:w="1660" w:type="dxa"/>
            <w:tcBorders>
              <w:top w:val="single" w:sz="4" w:space="0" w:color="00457D"/>
              <w:left w:val="nil"/>
              <w:bottom w:val="single" w:sz="4" w:space="0" w:color="00457D"/>
              <w:right w:val="single" w:sz="4" w:space="0" w:color="FFFFFF"/>
            </w:tcBorders>
            <w:shd w:val="clear" w:color="000000" w:fill="00457D"/>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FFFFFF"/>
                <w:sz w:val="21"/>
                <w:szCs w:val="21"/>
              </w:rPr>
            </w:pPr>
            <w:r>
              <w:rPr>
                <w:rFonts w:cs="Calibri"/>
                <w:b/>
                <w:bCs/>
                <w:color w:val="FFFFFF"/>
                <w:sz w:val="21"/>
                <w:szCs w:val="21"/>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FFFFFF"/>
              </w:rPr>
            </w:pPr>
            <w:r>
              <w:rPr>
                <w:rFonts w:cs="Calibri"/>
                <w:b/>
                <w:bCs/>
                <w:color w:val="FFFFFF"/>
              </w:rPr>
              <w:t xml:space="preserve">Variazione </w:t>
            </w:r>
            <w:r>
              <w:rPr>
                <w:rFonts w:cs="Calibri"/>
                <w:b/>
                <w:bCs/>
                <w:color w:val="FFFFFF"/>
              </w:rPr>
              <w:br/>
              <w:t>% nuovi casi</w:t>
            </w:r>
          </w:p>
        </w:tc>
        <w:tc>
          <w:tcPr>
            <w:tcW w:w="2268" w:type="dxa"/>
            <w:tcBorders>
              <w:top w:val="single" w:sz="4" w:space="0" w:color="00457D"/>
              <w:left w:val="nil"/>
              <w:bottom w:val="single" w:sz="4" w:space="0" w:color="00457D"/>
              <w:right w:val="single" w:sz="4" w:space="0" w:color="FFFFFF"/>
            </w:tcBorders>
            <w:shd w:val="clear" w:color="000000" w:fill="00457D"/>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FFFFFF"/>
              </w:rPr>
            </w:pPr>
            <w:r>
              <w:rPr>
                <w:rFonts w:cs="Calibri"/>
                <w:b/>
                <w:bCs/>
                <w:color w:val="FFFFFF"/>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FFFFFF"/>
              </w:rPr>
            </w:pPr>
            <w:r>
              <w:rPr>
                <w:rFonts w:cs="Calibri"/>
                <w:b/>
                <w:bCs/>
                <w:color w:val="FFFFFF"/>
              </w:rPr>
              <w:t xml:space="preserve">Posti letto in terapia intensiva occupati da </w:t>
            </w:r>
            <w:r>
              <w:rPr>
                <w:rFonts w:cs="Calibri"/>
                <w:b/>
                <w:bCs/>
                <w:color w:val="FFFFFF"/>
              </w:rPr>
              <w:br/>
              <w:t>pazienti COVID−19</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Abruzzo</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3.662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-17,4%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23,6%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5,0%</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Basilicata</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4.912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-21,7%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25,6%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5,1%</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Calabria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4.367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-28,2%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29,0%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9,1%</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Campania</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2.832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-18,8%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17,2%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7,7%</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Emilia Romagna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1.236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-5,7%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15,4%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3,7%</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Friuli Venezia Giulia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1.993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-21,0%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13,2%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1,7%</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Lazio</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2.556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-20,8%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18,3%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7,1%</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Liguria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1.081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-14,6%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19,5%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5,6%</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Lombardia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1.586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-21,5%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11,0%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1,9%</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Marche</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563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-26,4%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18,5%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2,8%</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Molise</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2.862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16,5%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5,1%</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Piemonte</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1.377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-3,6%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11,3%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3,8%</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Prov. Aut. Bolzano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785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-22,9%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6,8%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2,0%</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Prov. Aut. Trento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708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-19,7%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12,6%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3,3%</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Puglia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2.572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-27,1%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20,9%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7,0%</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Sardegna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1.858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-22,4%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20,6%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10,3%</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Sicilia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2.744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-19,6%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24,9%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6,3%</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Toscana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1.348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-24,1%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14,5%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5,1%</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Umbria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1.418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-18,2%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36,9%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3,5%</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Valle D'Aosta</w:t>
            </w:r>
          </w:p>
        </w:tc>
        <w:tc>
          <w:tcPr>
            <w:tcW w:w="0" w:type="auto"/>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9C0006"/>
              </w:rPr>
            </w:pPr>
            <w:r>
              <w:rPr>
                <w:rFonts w:cs="Calibri"/>
                <w:color w:val="9C0006"/>
              </w:rPr>
              <w:t>1.097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-6,1%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13,5%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2,9%</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auto" w:fill="auto"/>
            <w:noWrap/>
            <w:tcMar>
              <w:top w:w="15" w:type="dxa"/>
              <w:left w:w="15" w:type="dxa"/>
              <w:bottom w:w="0" w:type="dxa"/>
              <w:right w:w="15" w:type="dxa"/>
            </w:tcMar>
            <w:vAlign w:val="center"/>
            <w:hideMark/>
          </w:tcPr>
          <w:p w:rsidR="006761A1" w:rsidRDefault="006761A1" w:rsidP="00320817">
            <w:pPr>
              <w:spacing w:after="0" w:line="240" w:lineRule="auto"/>
              <w:rPr>
                <w:rFonts w:cs="Calibri"/>
              </w:rPr>
            </w:pPr>
            <w:r>
              <w:rPr>
                <w:rFonts w:cs="Calibri"/>
              </w:rPr>
              <w:t>Veneto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1.517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-20,9%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10,6%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color w:val="006100"/>
              </w:rPr>
            </w:pPr>
            <w:r>
              <w:rPr>
                <w:rFonts w:cs="Calibri"/>
                <w:color w:val="006100"/>
              </w:rPr>
              <w:t>1,7%</w:t>
            </w:r>
          </w:p>
        </w:tc>
      </w:tr>
      <w:tr w:rsidR="006761A1" w:rsidTr="00320817">
        <w:trPr>
          <w:trHeight w:val="340"/>
        </w:trPr>
        <w:tc>
          <w:tcPr>
            <w:tcW w:w="2000" w:type="dxa"/>
            <w:tcBorders>
              <w:top w:val="nil"/>
              <w:left w:val="single" w:sz="4" w:space="0" w:color="00457D"/>
              <w:bottom w:val="single" w:sz="4" w:space="0" w:color="00457D"/>
              <w:right w:val="single" w:sz="4" w:space="0" w:color="00457D"/>
            </w:tcBorders>
            <w:shd w:val="clear" w:color="000000" w:fill="00457D"/>
            <w:noWrap/>
            <w:tcMar>
              <w:top w:w="15" w:type="dxa"/>
              <w:left w:w="15" w:type="dxa"/>
              <w:bottom w:w="0" w:type="dxa"/>
              <w:right w:w="15" w:type="dxa"/>
            </w:tcMar>
            <w:vAlign w:val="center"/>
            <w:hideMark/>
          </w:tcPr>
          <w:p w:rsidR="006761A1" w:rsidRDefault="006761A1" w:rsidP="00320817">
            <w:pPr>
              <w:spacing w:after="0" w:line="240" w:lineRule="auto"/>
              <w:rPr>
                <w:rFonts w:cs="Calibri"/>
                <w:b/>
                <w:bCs/>
                <w:color w:val="FFFFFF"/>
              </w:rPr>
            </w:pPr>
            <w:r>
              <w:rPr>
                <w:rFonts w:cs="Calibri"/>
                <w:b/>
                <w:bCs/>
                <w:color w:val="FFFFFF"/>
              </w:rPr>
              <w:t>ITALIA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006100"/>
              </w:rPr>
            </w:pPr>
            <w:r>
              <w:rPr>
                <w:rFonts w:cs="Calibri"/>
                <w:b/>
                <w:bCs/>
                <w:color w:val="006100"/>
              </w:rPr>
              <w:t>2.026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006100"/>
              </w:rPr>
            </w:pPr>
            <w:r>
              <w:rPr>
                <w:rFonts w:cs="Calibri"/>
                <w:b/>
                <w:bCs/>
                <w:color w:val="006100"/>
              </w:rPr>
              <w:t>-19,5%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006100"/>
              </w:rPr>
            </w:pPr>
            <w:r>
              <w:rPr>
                <w:rFonts w:cs="Calibri"/>
                <w:b/>
                <w:bCs/>
                <w:color w:val="006100"/>
              </w:rPr>
              <w:t>15,8%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rsidR="006761A1" w:rsidRDefault="006761A1" w:rsidP="00320817">
            <w:pPr>
              <w:spacing w:after="0" w:line="240" w:lineRule="auto"/>
              <w:jc w:val="center"/>
              <w:rPr>
                <w:rFonts w:cs="Calibri"/>
                <w:b/>
                <w:bCs/>
                <w:color w:val="006100"/>
              </w:rPr>
            </w:pPr>
            <w:r>
              <w:rPr>
                <w:rFonts w:cs="Calibri"/>
                <w:b/>
                <w:bCs/>
                <w:color w:val="006100"/>
              </w:rPr>
              <w:t>4,5%</w:t>
            </w:r>
          </w:p>
        </w:tc>
      </w:tr>
      <w:tr w:rsidR="006761A1" w:rsidTr="00320817">
        <w:trPr>
          <w:trHeight w:val="1871"/>
        </w:trPr>
        <w:tc>
          <w:tcPr>
            <w:tcW w:w="9654" w:type="dxa"/>
            <w:gridSpan w:val="5"/>
            <w:tcBorders>
              <w:top w:val="single" w:sz="4" w:space="0" w:color="00457D"/>
              <w:left w:val="single" w:sz="4" w:space="0" w:color="00457D"/>
              <w:bottom w:val="single" w:sz="4" w:space="0" w:color="00457D"/>
              <w:right w:val="single" w:sz="4" w:space="0" w:color="00457D"/>
            </w:tcBorders>
            <w:shd w:val="clear" w:color="auto" w:fill="auto"/>
            <w:tcMar>
              <w:top w:w="15" w:type="dxa"/>
              <w:left w:w="15" w:type="dxa"/>
              <w:bottom w:w="0" w:type="dxa"/>
              <w:right w:w="15" w:type="dxa"/>
            </w:tcMar>
            <w:vAlign w:val="center"/>
            <w:hideMark/>
          </w:tcPr>
          <w:p w:rsidR="00320817" w:rsidRDefault="00320817" w:rsidP="0032081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Pr>
                <w:rFonts w:eastAsia="Times New Roman" w:cs="Calibri"/>
                <w:color w:val="auto"/>
                <w:sz w:val="20"/>
                <w:szCs w:val="20"/>
                <w:bdr w:val="none" w:sz="0" w:space="0" w:color="auto"/>
              </w:rPr>
              <w:t>i dati della Regione Sicilia risentono di ricalcoli avvenuti nell’ultima settimana.</w:t>
            </w:r>
          </w:p>
          <w:p w:rsidR="006761A1" w:rsidRDefault="006761A1" w:rsidP="00320817">
            <w:pPr>
              <w:spacing w:after="0" w:line="240" w:lineRule="auto"/>
              <w:rPr>
                <w:rFonts w:cs="Calibri"/>
                <w:color w:val="auto"/>
                <w:sz w:val="20"/>
                <w:szCs w:val="20"/>
              </w:rPr>
            </w:pPr>
            <w:r>
              <w:rPr>
                <w:rFonts w:cs="Calibri"/>
                <w:sz w:val="20"/>
                <w:szCs w:val="20"/>
              </w:rPr>
              <w:t>Nota: nella prima colonna i colori rosso, verde e giallo indicano rispettivamente una performance regionale in peggioramento, in miglioramento o stabile, rispetto alla settimana precedente.</w:t>
            </w:r>
            <w:r>
              <w:rPr>
                <w:rFonts w:cs="Calibri"/>
                <w:sz w:val="20"/>
                <w:szCs w:val="20"/>
              </w:rPr>
              <w:br/>
              <w:t>Nella seconda colonna i colori rosso e verde indicano rispettivamente un aumento o una diminuzione percentuale dei nuovi casi rispetto alla settimana precedente.</w:t>
            </w:r>
            <w:r>
              <w:rPr>
                <w:rFonts w:cs="Calibri"/>
                <w:sz w:val="20"/>
                <w:szCs w:val="20"/>
              </w:rPr>
              <w:br/>
              <w:t xml:space="preserve">Nelle ultime 2 colonne i colori rosso e verde indicano rispettivamente un valore superiore o inferiore rispetto alla media nazionale (dati </w:t>
            </w:r>
            <w:proofErr w:type="spellStart"/>
            <w:r>
              <w:rPr>
                <w:rFonts w:cs="Calibri"/>
                <w:sz w:val="20"/>
                <w:szCs w:val="20"/>
              </w:rPr>
              <w:t>Agenas</w:t>
            </w:r>
            <w:proofErr w:type="spellEnd"/>
            <w:r>
              <w:rPr>
                <w:rFonts w:cs="Calibri"/>
                <w:sz w:val="20"/>
                <w:szCs w:val="20"/>
              </w:rPr>
              <w:t xml:space="preserve">). </w:t>
            </w:r>
          </w:p>
        </w:tc>
      </w:tr>
    </w:tbl>
    <w:p w:rsidR="006761A1" w:rsidRDefault="006761A1">
      <w:pPr>
        <w:spacing w:after="0" w:line="240" w:lineRule="auto"/>
      </w:pPr>
      <w:r>
        <w:t xml:space="preserve"> </w:t>
      </w:r>
    </w:p>
    <w:p w:rsidR="004D16FF" w:rsidRDefault="004D16FF" w:rsidP="004D16FF">
      <w:pPr>
        <w:spacing w:after="0" w:line="240" w:lineRule="auto"/>
      </w:pPr>
      <w:r>
        <w:br w:type="page"/>
      </w:r>
    </w:p>
    <w:p w:rsidR="004D16FF" w:rsidRPr="008955B7" w:rsidRDefault="004D16FF" w:rsidP="008955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w:t>
      </w:r>
      <w:r w:rsidR="008955B7">
        <w:rPr>
          <w:b/>
          <w:bCs/>
          <w:color w:val="00457D"/>
          <w:sz w:val="24"/>
          <w:szCs w:val="24"/>
          <w:u w:color="00457D"/>
        </w:rPr>
        <w:t>ttimana suddivisi per provincia</w:t>
      </w:r>
    </w:p>
    <w:tbl>
      <w:tblPr>
        <w:tblStyle w:val="TableNormal"/>
        <w:tblW w:w="81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140"/>
        <w:gridCol w:w="1707"/>
        <w:gridCol w:w="10"/>
      </w:tblGrid>
      <w:tr w:rsidR="00745BD1" w:rsidRPr="005672CD" w:rsidTr="0096573D">
        <w:trPr>
          <w:gridAfter w:val="1"/>
          <w:wAfter w:w="10" w:type="dxa"/>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2140"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113F04">
            <w:pPr>
              <w:spacing w:after="0" w:line="240" w:lineRule="auto"/>
              <w:jc w:val="center"/>
              <w:rPr>
                <w:rFonts w:cs="Calibri"/>
                <w:szCs w:val="20"/>
              </w:rPr>
            </w:pPr>
            <w:r w:rsidRPr="005672CD">
              <w:rPr>
                <w:rFonts w:cs="Calibri"/>
                <w:b/>
                <w:bCs/>
                <w:color w:val="FFFFFF"/>
                <w:szCs w:val="20"/>
                <w:u w:color="FFFFFF"/>
              </w:rPr>
              <w:t xml:space="preserve">Nuovi casi per </w:t>
            </w:r>
            <w:r w:rsidR="00936C2E">
              <w:rPr>
                <w:rFonts w:cs="Calibri"/>
                <w:b/>
                <w:bCs/>
                <w:color w:val="FFFFFF"/>
                <w:szCs w:val="20"/>
                <w:u w:color="FFFFFF"/>
              </w:rPr>
              <w:br/>
            </w:r>
            <w:r w:rsidRPr="005672CD">
              <w:rPr>
                <w:rFonts w:cs="Calibri"/>
                <w:b/>
                <w:bCs/>
                <w:color w:val="FFFFFF"/>
                <w:szCs w:val="20"/>
                <w:u w:color="FFFFFF"/>
              </w:rPr>
              <w:t xml:space="preserve">100.000 abitanti </w:t>
            </w:r>
            <w:r>
              <w:rPr>
                <w:rFonts w:cs="Calibri"/>
                <w:b/>
                <w:bCs/>
                <w:color w:val="FFFFFF"/>
                <w:szCs w:val="20"/>
                <w:u w:color="FFFFFF"/>
              </w:rPr>
              <w:br/>
            </w:r>
            <w:r w:rsidR="00113F04">
              <w:rPr>
                <w:rFonts w:cs="Calibri"/>
                <w:b/>
                <w:bCs/>
                <w:color w:val="FFFFFF"/>
                <w:szCs w:val="20"/>
                <w:u w:color="FFFFFF"/>
              </w:rPr>
              <w:t>13-19</w:t>
            </w:r>
            <w:r w:rsidR="00936C2E">
              <w:rPr>
                <w:rFonts w:cs="Calibri"/>
                <w:b/>
                <w:bCs/>
                <w:color w:val="FFFFFF"/>
                <w:szCs w:val="20"/>
                <w:u w:color="FFFFFF"/>
              </w:rPr>
              <w:t xml:space="preserve"> aprile</w:t>
            </w:r>
            <w:r>
              <w:rPr>
                <w:rFonts w:cs="Calibri"/>
                <w:b/>
                <w:bCs/>
                <w:color w:val="FFFFFF"/>
                <w:szCs w:val="20"/>
                <w:u w:color="FFFFFF"/>
              </w:rPr>
              <w:t xml:space="preserve"> 2022</w:t>
            </w:r>
          </w:p>
        </w:tc>
        <w:tc>
          <w:tcPr>
            <w:tcW w:w="170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745BD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Chieti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931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-11,4%</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Teramo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852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-23,1%</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Pescara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851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-11,8%</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L'Aquila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578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-31,8%</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Potenza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722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-24,1%</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Matera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549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-14,1%</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Catanzaro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758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-24,4%</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Crotone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587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-25,5%</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Vibo Valentia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568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-30,5%</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Reggio di Calabria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521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-37,9%</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Cosenza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481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-22,3%</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Avellino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831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-27,9%</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Salerno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746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-19,2%</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Caserta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721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-17,1%</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Benevento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683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-31,5%</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Napoli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588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-16,1%</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Ravenna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763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-5,8%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Reggio nell'Emilia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756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-7,7%</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Forlì-Cesena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654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-0,8%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Parma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629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13F04" w:rsidRDefault="00113F04" w:rsidP="00113F04">
            <w:pPr>
              <w:spacing w:after="0" w:line="240" w:lineRule="auto"/>
              <w:jc w:val="center"/>
              <w:rPr>
                <w:rFonts w:cs="Calibri"/>
                <w:color w:val="9C0006"/>
              </w:rPr>
            </w:pPr>
            <w:r>
              <w:rPr>
                <w:rFonts w:cs="Calibri"/>
                <w:color w:val="9C0006"/>
              </w:rPr>
              <w:t>2,0%</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Modena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626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Bologna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616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-8,4%</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Rimini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600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-6,8%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Ferrara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591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-11,9%</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Piacenza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417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-19,5%</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Trieste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525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-27,1%</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Gorizia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469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-20,0%</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Udine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455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-23,6%</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Pordenone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419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-11,6%</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Rieti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723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-23,4%</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Latina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717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-19,5%</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Roma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680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-19,0%</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Frosinone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601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-33,7%</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Viterbo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534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-25,9%</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La Spezia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650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-15,9%</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Genova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555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-18,3%</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Imperia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478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-3,0%</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Savona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428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-12,9%</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Mantova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525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-26,9%</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Lecco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496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-27,6%</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Varese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468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-23,6%</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Monza e della Brianza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462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-18,0%</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Pavia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451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-18,3%</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Milano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446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-21,8%</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Como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444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-17,3%</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Brescia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440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-22,8%</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Sondrio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397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-10,8%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Cremona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380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-26,2%</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Lodi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300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-24,7%</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Bergamo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279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-17,3%</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Ascoli Piceno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972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-12,3%</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Fermo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654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-30,2%</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Ancona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598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-32,3%</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Macerata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562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-27,8%</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Pesaro e Urbino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481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-29,2%</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Isernia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873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13F04" w:rsidRDefault="00113F04" w:rsidP="00113F04">
            <w:pPr>
              <w:spacing w:after="0" w:line="240" w:lineRule="auto"/>
              <w:jc w:val="center"/>
              <w:rPr>
                <w:rFonts w:cs="Calibri"/>
                <w:color w:val="9C0006"/>
              </w:rPr>
            </w:pPr>
            <w:r>
              <w:rPr>
                <w:rFonts w:cs="Calibri"/>
                <w:color w:val="9C0006"/>
              </w:rPr>
              <w:t>23,9%</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Campobasso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735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-11,4%</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Bolzano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455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-23,7%</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Trento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425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-19,7%</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Asti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631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13F04" w:rsidRDefault="00113F04" w:rsidP="00113F04">
            <w:pPr>
              <w:spacing w:after="0" w:line="240" w:lineRule="auto"/>
              <w:jc w:val="center"/>
              <w:rPr>
                <w:rFonts w:cs="Calibri"/>
                <w:color w:val="9C0006"/>
              </w:rPr>
            </w:pPr>
            <w:r>
              <w:rPr>
                <w:rFonts w:cs="Calibri"/>
                <w:color w:val="9C0006"/>
              </w:rPr>
              <w:t>2,8%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Alessandria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586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-14,0%</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Verbano-Cusio-Ossola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505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13F04" w:rsidRDefault="00113F04" w:rsidP="00113F04">
            <w:pPr>
              <w:spacing w:after="0" w:line="240" w:lineRule="auto"/>
              <w:jc w:val="center"/>
              <w:rPr>
                <w:rFonts w:cs="Calibri"/>
                <w:color w:val="9C0006"/>
              </w:rPr>
            </w:pPr>
            <w:r>
              <w:rPr>
                <w:rFonts w:cs="Calibri"/>
                <w:color w:val="9C0006"/>
              </w:rPr>
              <w:t>3,4%</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Torino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-4,8%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Biella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445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13F04" w:rsidRDefault="00113F04" w:rsidP="00113F04">
            <w:pPr>
              <w:spacing w:after="0" w:line="240" w:lineRule="auto"/>
              <w:jc w:val="center"/>
              <w:rPr>
                <w:rFonts w:cs="Calibri"/>
                <w:color w:val="9C0006"/>
              </w:rPr>
            </w:pPr>
            <w:r>
              <w:rPr>
                <w:rFonts w:cs="Calibri"/>
                <w:color w:val="9C0006"/>
              </w:rPr>
              <w:t>8,8%</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Vercelli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421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-4,3%</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Cuneo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382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113F04" w:rsidRDefault="00113F04" w:rsidP="00113F04">
            <w:pPr>
              <w:spacing w:after="0" w:line="240" w:lineRule="auto"/>
              <w:jc w:val="center"/>
              <w:rPr>
                <w:rFonts w:cs="Calibri"/>
                <w:color w:val="9C0006"/>
              </w:rPr>
            </w:pPr>
            <w:r>
              <w:rPr>
                <w:rFonts w:cs="Calibri"/>
                <w:color w:val="9C0006"/>
              </w:rPr>
              <w:t>8,4%</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Novara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366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-13,7%</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Bari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772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-24,9%</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Brindisi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697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-25,8%</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Lecce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638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-30,2%</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Taranto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-29,6%</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Foggia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542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-27,7%</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Barletta-Andria-Trani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480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-27,4%</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Oristano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676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-23,0%</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Cagliari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637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-24,0%</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Nuoro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623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-21,7%</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Sud Sardegna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608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-11,6%</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Sassari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475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-28,8%</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Messina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789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-19,7%</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Siracusa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589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-17,1%</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Palermo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540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-17,8%</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Trapani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519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-29,5%</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Ragusa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478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-23,6%</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Agrigento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464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-27,7%</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Catania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451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-10,4%</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Caltanissetta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427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-28,3%</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Enna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410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-17,9%</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Livorno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684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-17,4%</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Siena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680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-24,7%</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Massa Carrara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641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-36,6%</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Pisa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634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-19,1%</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Grosseto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619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-26,8%</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Arezzo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577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-22,3%</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Firenze</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554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-22,0%</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Lucca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554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-28,3%</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Pistoia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548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-29,9%</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Prato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429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-22,9%</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Perugia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-18,0%</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Terni</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603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-22,2%</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Aosta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386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-9,6%</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Treviso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740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-16,3%</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Vicenza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738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-23,5%</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Padova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732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-22,2%</w:t>
            </w:r>
          </w:p>
        </w:tc>
      </w:tr>
      <w:tr w:rsidR="00113F04" w:rsidRPr="0080409E" w:rsidTr="0096573D">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Venezia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724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-22,3%</w:t>
            </w:r>
          </w:p>
        </w:tc>
      </w:tr>
      <w:tr w:rsidR="00113F04" w:rsidRPr="0080409E" w:rsidTr="00C148D7">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Rovigo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685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-27,6%</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Belluno</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662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-13,6%</w:t>
            </w:r>
          </w:p>
        </w:tc>
      </w:tr>
      <w:tr w:rsidR="00113F04" w:rsidRPr="0080409E" w:rsidTr="00113F04">
        <w:tblPrEx>
          <w:shd w:val="clear" w:color="auto" w:fill="CDD4E9"/>
        </w:tblPrEx>
        <w:trPr>
          <w:gridAfter w:val="1"/>
          <w:wAfter w:w="10"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rPr>
                <w:rFonts w:cs="Calibri"/>
              </w:rPr>
            </w:pPr>
            <w:r>
              <w:rPr>
                <w:rFonts w:cs="Calibri"/>
              </w:rPr>
              <w:t>Verona</w:t>
            </w:r>
          </w:p>
        </w:tc>
        <w:tc>
          <w:tcPr>
            <w:tcW w:w="214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113F04" w:rsidRDefault="00113F04" w:rsidP="00113F04">
            <w:pPr>
              <w:spacing w:after="0" w:line="240" w:lineRule="auto"/>
              <w:jc w:val="center"/>
              <w:rPr>
                <w:rFonts w:cs="Calibri"/>
              </w:rPr>
            </w:pPr>
            <w:r>
              <w:rPr>
                <w:rFonts w:cs="Calibri"/>
              </w:rPr>
              <w:t>611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113F04" w:rsidRDefault="00113F04" w:rsidP="00113F04">
            <w:pPr>
              <w:spacing w:after="0" w:line="240" w:lineRule="auto"/>
              <w:jc w:val="center"/>
              <w:rPr>
                <w:rFonts w:cs="Calibri"/>
                <w:color w:val="006100"/>
              </w:rPr>
            </w:pPr>
            <w:r>
              <w:rPr>
                <w:rFonts w:cs="Calibri"/>
                <w:color w:val="006100"/>
              </w:rPr>
              <w:t>-20,1%</w:t>
            </w:r>
          </w:p>
        </w:tc>
      </w:tr>
      <w:tr w:rsidR="00D91289" w:rsidRPr="005672CD" w:rsidTr="0096573D">
        <w:tblPrEx>
          <w:shd w:val="clear" w:color="auto" w:fill="CDD4E9"/>
        </w:tblPrEx>
        <w:trPr>
          <w:trHeight w:val="20"/>
          <w:jc w:val="center"/>
        </w:trPr>
        <w:tc>
          <w:tcPr>
            <w:tcW w:w="8105" w:type="dxa"/>
            <w:gridSpan w:val="5"/>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1289" w:rsidRDefault="002B5E81" w:rsidP="008751B7">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80409E" w:rsidRPr="00234B97" w:rsidRDefault="0080409E"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rsidSect="005B4AE1">
      <w:pgSz w:w="11900" w:h="16840"/>
      <w:pgMar w:top="1134" w:right="1134" w:bottom="1418" w:left="1134"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D600" w16cex:dateUtc="2022-03-30T10:09:00Z"/>
  <w16cex:commentExtensible w16cex:durableId="25EED934" w16cex:dateUtc="2022-03-30T11:27:00Z"/>
  <w16cex:commentExtensible w16cex:durableId="25EED601" w16cex:dateUtc="2022-03-30T10:20:00Z"/>
  <w16cex:commentExtensible w16cex:durableId="25EED969" w16cex:dateUtc="2022-03-30T11:28:00Z"/>
  <w16cex:commentExtensible w16cex:durableId="25EED602" w16cex:dateUtc="2022-03-30T10:11:00Z"/>
  <w16cex:commentExtensible w16cex:durableId="25EED991" w16cex:dateUtc="2022-03-30T11:28:00Z"/>
  <w16cex:commentExtensible w16cex:durableId="25EED603" w16cex:dateUtc="2022-03-30T10:11:00Z"/>
  <w16cex:commentExtensible w16cex:durableId="25EED9B7" w16cex:dateUtc="2022-03-30T11:29:00Z"/>
  <w16cex:commentExtensible w16cex:durableId="25EEDA89" w16cex:dateUtc="2022-03-30T11:32:00Z"/>
  <w16cex:commentExtensible w16cex:durableId="25EED604" w16cex:dateUtc="2022-03-30T09:56:00Z"/>
  <w16cex:commentExtensible w16cex:durableId="25EEDAD0" w16cex:dateUtc="2022-03-30T11:34:00Z"/>
  <w16cex:commentExtensible w16cex:durableId="25EED605" w16cex:dateUtc="2022-03-30T10:29:00Z"/>
  <w16cex:commentExtensible w16cex:durableId="25EED606" w16cex:dateUtc="2022-03-30T10:13:00Z"/>
  <w16cex:commentExtensible w16cex:durableId="25EEDAF7" w16cex:dateUtc="2022-03-30T11:34:00Z"/>
  <w16cex:commentExtensible w16cex:durableId="25EED607" w16cex:dateUtc="2022-03-30T10:15:00Z"/>
  <w16cex:commentExtensible w16cex:durableId="25EEDB0A" w16cex:dateUtc="2022-03-30T11:35:00Z"/>
  <w16cex:commentExtensible w16cex:durableId="25EED608" w16cex:dateUtc="2022-03-30T11:09:00Z"/>
  <w16cex:commentExtensible w16cex:durableId="25EED609" w16cex:dateUtc="2022-03-30T11:04:00Z"/>
  <w16cex:commentExtensible w16cex:durableId="25EED60A" w16cex:dateUtc="2022-03-30T11:01:00Z"/>
  <w16cex:commentExtensible w16cex:durableId="25EEDB30" w16cex:dateUtc="2022-03-30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FA5" w:rsidRDefault="00AC6FA5">
      <w:pPr>
        <w:spacing w:after="0" w:line="240" w:lineRule="auto"/>
      </w:pPr>
      <w:r>
        <w:separator/>
      </w:r>
    </w:p>
  </w:endnote>
  <w:endnote w:type="continuationSeparator" w:id="0">
    <w:p w:rsidR="00AC6FA5" w:rsidRDefault="00AC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FA5" w:rsidRDefault="00AC6FA5">
      <w:pPr>
        <w:spacing w:after="0" w:line="240" w:lineRule="auto"/>
      </w:pPr>
      <w:r>
        <w:separator/>
      </w:r>
    </w:p>
  </w:footnote>
  <w:footnote w:type="continuationSeparator" w:id="0">
    <w:p w:rsidR="00AC6FA5" w:rsidRDefault="00AC6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574"/>
    <w:rsid w:val="00015BAE"/>
    <w:rsid w:val="00016690"/>
    <w:rsid w:val="00017890"/>
    <w:rsid w:val="0002043C"/>
    <w:rsid w:val="000206F4"/>
    <w:rsid w:val="0002125E"/>
    <w:rsid w:val="00021C19"/>
    <w:rsid w:val="000222A5"/>
    <w:rsid w:val="00023784"/>
    <w:rsid w:val="00024C2D"/>
    <w:rsid w:val="00026849"/>
    <w:rsid w:val="00027033"/>
    <w:rsid w:val="000276DE"/>
    <w:rsid w:val="000300C2"/>
    <w:rsid w:val="0003144B"/>
    <w:rsid w:val="00031CD6"/>
    <w:rsid w:val="00032112"/>
    <w:rsid w:val="00032658"/>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C9B"/>
    <w:rsid w:val="00044EB9"/>
    <w:rsid w:val="000453E7"/>
    <w:rsid w:val="00046B65"/>
    <w:rsid w:val="0005001A"/>
    <w:rsid w:val="00051038"/>
    <w:rsid w:val="0005206B"/>
    <w:rsid w:val="00052578"/>
    <w:rsid w:val="000531D1"/>
    <w:rsid w:val="000542D3"/>
    <w:rsid w:val="0005433B"/>
    <w:rsid w:val="00054D1D"/>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25F"/>
    <w:rsid w:val="000653E7"/>
    <w:rsid w:val="0006599B"/>
    <w:rsid w:val="00065C95"/>
    <w:rsid w:val="00066602"/>
    <w:rsid w:val="0006669C"/>
    <w:rsid w:val="00067039"/>
    <w:rsid w:val="000673B6"/>
    <w:rsid w:val="00067B8B"/>
    <w:rsid w:val="00071568"/>
    <w:rsid w:val="00071A13"/>
    <w:rsid w:val="00071C3B"/>
    <w:rsid w:val="0007243C"/>
    <w:rsid w:val="00072AFD"/>
    <w:rsid w:val="00072C04"/>
    <w:rsid w:val="00073532"/>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4E0B"/>
    <w:rsid w:val="00085386"/>
    <w:rsid w:val="00085AF6"/>
    <w:rsid w:val="00085D13"/>
    <w:rsid w:val="000867DD"/>
    <w:rsid w:val="000871FB"/>
    <w:rsid w:val="00087236"/>
    <w:rsid w:val="00087B77"/>
    <w:rsid w:val="00091A87"/>
    <w:rsid w:val="00091D56"/>
    <w:rsid w:val="0009249D"/>
    <w:rsid w:val="00093AE7"/>
    <w:rsid w:val="0009411D"/>
    <w:rsid w:val="00095584"/>
    <w:rsid w:val="00095667"/>
    <w:rsid w:val="00095DC5"/>
    <w:rsid w:val="00096350"/>
    <w:rsid w:val="00096577"/>
    <w:rsid w:val="000A00BA"/>
    <w:rsid w:val="000A0380"/>
    <w:rsid w:val="000A08BA"/>
    <w:rsid w:val="000A0EDA"/>
    <w:rsid w:val="000A1093"/>
    <w:rsid w:val="000A1424"/>
    <w:rsid w:val="000A39B8"/>
    <w:rsid w:val="000A422E"/>
    <w:rsid w:val="000A57A1"/>
    <w:rsid w:val="000A6581"/>
    <w:rsid w:val="000A6DB2"/>
    <w:rsid w:val="000A72BA"/>
    <w:rsid w:val="000A7DDA"/>
    <w:rsid w:val="000A7E95"/>
    <w:rsid w:val="000A7EA7"/>
    <w:rsid w:val="000B0548"/>
    <w:rsid w:val="000B0AC0"/>
    <w:rsid w:val="000B119C"/>
    <w:rsid w:val="000B1B66"/>
    <w:rsid w:val="000B211A"/>
    <w:rsid w:val="000B21CF"/>
    <w:rsid w:val="000B242E"/>
    <w:rsid w:val="000B2449"/>
    <w:rsid w:val="000B25F9"/>
    <w:rsid w:val="000B3CDF"/>
    <w:rsid w:val="000B4554"/>
    <w:rsid w:val="000B4A82"/>
    <w:rsid w:val="000B53A4"/>
    <w:rsid w:val="000B5AC9"/>
    <w:rsid w:val="000B6238"/>
    <w:rsid w:val="000B68AC"/>
    <w:rsid w:val="000B6BAC"/>
    <w:rsid w:val="000C07AC"/>
    <w:rsid w:val="000C0A45"/>
    <w:rsid w:val="000C0B9A"/>
    <w:rsid w:val="000C22FE"/>
    <w:rsid w:val="000C2BD2"/>
    <w:rsid w:val="000C3C3C"/>
    <w:rsid w:val="000C3DE4"/>
    <w:rsid w:val="000C63F8"/>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7077"/>
    <w:rsid w:val="000D75CD"/>
    <w:rsid w:val="000D7645"/>
    <w:rsid w:val="000D7A69"/>
    <w:rsid w:val="000D7DCE"/>
    <w:rsid w:val="000D7E45"/>
    <w:rsid w:val="000D7EE3"/>
    <w:rsid w:val="000E0BCB"/>
    <w:rsid w:val="000E0C48"/>
    <w:rsid w:val="000E1A5A"/>
    <w:rsid w:val="000E1ABF"/>
    <w:rsid w:val="000E238A"/>
    <w:rsid w:val="000E2D17"/>
    <w:rsid w:val="000E3472"/>
    <w:rsid w:val="000E476D"/>
    <w:rsid w:val="000E4A1A"/>
    <w:rsid w:val="000E5ABA"/>
    <w:rsid w:val="000E60E1"/>
    <w:rsid w:val="000E60EB"/>
    <w:rsid w:val="000E64DA"/>
    <w:rsid w:val="000E6F3B"/>
    <w:rsid w:val="000E770E"/>
    <w:rsid w:val="000E781A"/>
    <w:rsid w:val="000E7A53"/>
    <w:rsid w:val="000F0385"/>
    <w:rsid w:val="000F09AA"/>
    <w:rsid w:val="000F159D"/>
    <w:rsid w:val="000F1EC4"/>
    <w:rsid w:val="000F2082"/>
    <w:rsid w:val="000F2389"/>
    <w:rsid w:val="000F387B"/>
    <w:rsid w:val="000F3AC7"/>
    <w:rsid w:val="000F4209"/>
    <w:rsid w:val="000F4917"/>
    <w:rsid w:val="000F5019"/>
    <w:rsid w:val="000F50A4"/>
    <w:rsid w:val="000F6D38"/>
    <w:rsid w:val="000F6EBD"/>
    <w:rsid w:val="000F6FE7"/>
    <w:rsid w:val="000F704A"/>
    <w:rsid w:val="000F7752"/>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06B84"/>
    <w:rsid w:val="00110316"/>
    <w:rsid w:val="001104E4"/>
    <w:rsid w:val="00111ED5"/>
    <w:rsid w:val="00111F9A"/>
    <w:rsid w:val="00112E06"/>
    <w:rsid w:val="001130FB"/>
    <w:rsid w:val="00113933"/>
    <w:rsid w:val="00113F04"/>
    <w:rsid w:val="00113F85"/>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7B8"/>
    <w:rsid w:val="001378AD"/>
    <w:rsid w:val="0014031D"/>
    <w:rsid w:val="001410D3"/>
    <w:rsid w:val="0014184C"/>
    <w:rsid w:val="00141D1E"/>
    <w:rsid w:val="00141E72"/>
    <w:rsid w:val="00141F0A"/>
    <w:rsid w:val="00141F2F"/>
    <w:rsid w:val="00142677"/>
    <w:rsid w:val="001429C0"/>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2D1F"/>
    <w:rsid w:val="001532BC"/>
    <w:rsid w:val="001533C7"/>
    <w:rsid w:val="001533DC"/>
    <w:rsid w:val="00153627"/>
    <w:rsid w:val="001536E7"/>
    <w:rsid w:val="001546C9"/>
    <w:rsid w:val="00154EE5"/>
    <w:rsid w:val="00157CBE"/>
    <w:rsid w:val="00157E6E"/>
    <w:rsid w:val="00157F8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E2D"/>
    <w:rsid w:val="00186FBE"/>
    <w:rsid w:val="001876F5"/>
    <w:rsid w:val="00187EBF"/>
    <w:rsid w:val="00191EB1"/>
    <w:rsid w:val="00192428"/>
    <w:rsid w:val="0019345D"/>
    <w:rsid w:val="00194070"/>
    <w:rsid w:val="001940FA"/>
    <w:rsid w:val="00194F60"/>
    <w:rsid w:val="001956DC"/>
    <w:rsid w:val="001956DE"/>
    <w:rsid w:val="0019613B"/>
    <w:rsid w:val="00196E72"/>
    <w:rsid w:val="00197134"/>
    <w:rsid w:val="00197435"/>
    <w:rsid w:val="001A09E4"/>
    <w:rsid w:val="001A156C"/>
    <w:rsid w:val="001A1A34"/>
    <w:rsid w:val="001A1D07"/>
    <w:rsid w:val="001A1D6C"/>
    <w:rsid w:val="001A25C7"/>
    <w:rsid w:val="001A2A7F"/>
    <w:rsid w:val="001A2CC0"/>
    <w:rsid w:val="001A2F4F"/>
    <w:rsid w:val="001A3572"/>
    <w:rsid w:val="001A37AC"/>
    <w:rsid w:val="001A3E0F"/>
    <w:rsid w:val="001A3E43"/>
    <w:rsid w:val="001A4ADB"/>
    <w:rsid w:val="001A503E"/>
    <w:rsid w:val="001A50D6"/>
    <w:rsid w:val="001A5713"/>
    <w:rsid w:val="001A5A00"/>
    <w:rsid w:val="001A633C"/>
    <w:rsid w:val="001A65C5"/>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6F38"/>
    <w:rsid w:val="001D7E62"/>
    <w:rsid w:val="001D7FE5"/>
    <w:rsid w:val="001E1FB2"/>
    <w:rsid w:val="001E2196"/>
    <w:rsid w:val="001E2453"/>
    <w:rsid w:val="001E3B61"/>
    <w:rsid w:val="001E4641"/>
    <w:rsid w:val="001E4724"/>
    <w:rsid w:val="001E481E"/>
    <w:rsid w:val="001E49E6"/>
    <w:rsid w:val="001E5259"/>
    <w:rsid w:val="001E5653"/>
    <w:rsid w:val="001E5977"/>
    <w:rsid w:val="001E6262"/>
    <w:rsid w:val="001E7AB9"/>
    <w:rsid w:val="001E7D8F"/>
    <w:rsid w:val="001F0985"/>
    <w:rsid w:val="001F1DD8"/>
    <w:rsid w:val="001F1DEB"/>
    <w:rsid w:val="001F1E82"/>
    <w:rsid w:val="001F2A2D"/>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23B"/>
    <w:rsid w:val="00202793"/>
    <w:rsid w:val="00202D0A"/>
    <w:rsid w:val="00204993"/>
    <w:rsid w:val="00204D79"/>
    <w:rsid w:val="002059AE"/>
    <w:rsid w:val="00205B01"/>
    <w:rsid w:val="0020699D"/>
    <w:rsid w:val="00207D85"/>
    <w:rsid w:val="00207EFE"/>
    <w:rsid w:val="00210040"/>
    <w:rsid w:val="002101D9"/>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B97"/>
    <w:rsid w:val="00234E8A"/>
    <w:rsid w:val="002351A0"/>
    <w:rsid w:val="00235552"/>
    <w:rsid w:val="00236626"/>
    <w:rsid w:val="0023670C"/>
    <w:rsid w:val="002369FF"/>
    <w:rsid w:val="00236FB0"/>
    <w:rsid w:val="0023721D"/>
    <w:rsid w:val="00240195"/>
    <w:rsid w:val="002408C1"/>
    <w:rsid w:val="00240E86"/>
    <w:rsid w:val="00241542"/>
    <w:rsid w:val="0024188A"/>
    <w:rsid w:val="002427A3"/>
    <w:rsid w:val="00242AB2"/>
    <w:rsid w:val="00242C77"/>
    <w:rsid w:val="00242F2C"/>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49"/>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A62EC"/>
    <w:rsid w:val="002A7BEE"/>
    <w:rsid w:val="002B0423"/>
    <w:rsid w:val="002B0A30"/>
    <w:rsid w:val="002B0ADF"/>
    <w:rsid w:val="002B20E2"/>
    <w:rsid w:val="002B2371"/>
    <w:rsid w:val="002B2CCB"/>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3A7"/>
    <w:rsid w:val="00303AA0"/>
    <w:rsid w:val="00304225"/>
    <w:rsid w:val="00304954"/>
    <w:rsid w:val="003049F6"/>
    <w:rsid w:val="00305C43"/>
    <w:rsid w:val="00305D40"/>
    <w:rsid w:val="00305FD6"/>
    <w:rsid w:val="00306478"/>
    <w:rsid w:val="00306641"/>
    <w:rsid w:val="003068D2"/>
    <w:rsid w:val="00306EC3"/>
    <w:rsid w:val="003076C1"/>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817"/>
    <w:rsid w:val="00320D4F"/>
    <w:rsid w:val="00320D92"/>
    <w:rsid w:val="00321347"/>
    <w:rsid w:val="00321CCA"/>
    <w:rsid w:val="00321D29"/>
    <w:rsid w:val="00322491"/>
    <w:rsid w:val="00322631"/>
    <w:rsid w:val="00322C39"/>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032"/>
    <w:rsid w:val="003477C3"/>
    <w:rsid w:val="00347F09"/>
    <w:rsid w:val="00350108"/>
    <w:rsid w:val="0035087A"/>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CAB"/>
    <w:rsid w:val="00362FDB"/>
    <w:rsid w:val="00363039"/>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1C1D"/>
    <w:rsid w:val="003726E1"/>
    <w:rsid w:val="003727A7"/>
    <w:rsid w:val="00372AFA"/>
    <w:rsid w:val="00372B2C"/>
    <w:rsid w:val="0037304B"/>
    <w:rsid w:val="00373CA2"/>
    <w:rsid w:val="0037430E"/>
    <w:rsid w:val="003744DF"/>
    <w:rsid w:val="0037469D"/>
    <w:rsid w:val="003747F1"/>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D4E"/>
    <w:rsid w:val="003908B8"/>
    <w:rsid w:val="00390F8F"/>
    <w:rsid w:val="00391515"/>
    <w:rsid w:val="00391BD8"/>
    <w:rsid w:val="00391D3F"/>
    <w:rsid w:val="00392041"/>
    <w:rsid w:val="003920FB"/>
    <w:rsid w:val="0039246E"/>
    <w:rsid w:val="003924CD"/>
    <w:rsid w:val="003932D6"/>
    <w:rsid w:val="0039345B"/>
    <w:rsid w:val="00393652"/>
    <w:rsid w:val="00393F63"/>
    <w:rsid w:val="00394375"/>
    <w:rsid w:val="00394447"/>
    <w:rsid w:val="00394992"/>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53A4"/>
    <w:rsid w:val="003B5F29"/>
    <w:rsid w:val="003B632B"/>
    <w:rsid w:val="003B6B24"/>
    <w:rsid w:val="003B6F85"/>
    <w:rsid w:val="003B720F"/>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65"/>
    <w:rsid w:val="003D75C5"/>
    <w:rsid w:val="003D7D3B"/>
    <w:rsid w:val="003E083A"/>
    <w:rsid w:val="003E1BA0"/>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8D2"/>
    <w:rsid w:val="003F2987"/>
    <w:rsid w:val="003F2CF1"/>
    <w:rsid w:val="003F3D44"/>
    <w:rsid w:val="003F5167"/>
    <w:rsid w:val="003F534E"/>
    <w:rsid w:val="003F5612"/>
    <w:rsid w:val="003F6A5F"/>
    <w:rsid w:val="003F6A89"/>
    <w:rsid w:val="003F6C05"/>
    <w:rsid w:val="003F7223"/>
    <w:rsid w:val="003F7469"/>
    <w:rsid w:val="003F7493"/>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6CA"/>
    <w:rsid w:val="00415795"/>
    <w:rsid w:val="004167BB"/>
    <w:rsid w:val="00417326"/>
    <w:rsid w:val="00417C5E"/>
    <w:rsid w:val="00417D75"/>
    <w:rsid w:val="00420736"/>
    <w:rsid w:val="00421389"/>
    <w:rsid w:val="004222A8"/>
    <w:rsid w:val="0042267C"/>
    <w:rsid w:val="004230E7"/>
    <w:rsid w:val="0042340E"/>
    <w:rsid w:val="004235BB"/>
    <w:rsid w:val="004243B2"/>
    <w:rsid w:val="004254C7"/>
    <w:rsid w:val="00426290"/>
    <w:rsid w:val="004262FC"/>
    <w:rsid w:val="00431177"/>
    <w:rsid w:val="004315A5"/>
    <w:rsid w:val="00431BFD"/>
    <w:rsid w:val="00432864"/>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642"/>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2A52"/>
    <w:rsid w:val="00463915"/>
    <w:rsid w:val="004642E7"/>
    <w:rsid w:val="00464CCF"/>
    <w:rsid w:val="00465094"/>
    <w:rsid w:val="00465213"/>
    <w:rsid w:val="00465DF9"/>
    <w:rsid w:val="004668E6"/>
    <w:rsid w:val="00466C2D"/>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1C78"/>
    <w:rsid w:val="004821B7"/>
    <w:rsid w:val="004824DB"/>
    <w:rsid w:val="0048254D"/>
    <w:rsid w:val="0048276B"/>
    <w:rsid w:val="00482785"/>
    <w:rsid w:val="00482E79"/>
    <w:rsid w:val="0048371B"/>
    <w:rsid w:val="00483722"/>
    <w:rsid w:val="00483C7A"/>
    <w:rsid w:val="00483FB7"/>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02F"/>
    <w:rsid w:val="004A7619"/>
    <w:rsid w:val="004A7B51"/>
    <w:rsid w:val="004A7CFD"/>
    <w:rsid w:val="004A7D7C"/>
    <w:rsid w:val="004B0168"/>
    <w:rsid w:val="004B0AA5"/>
    <w:rsid w:val="004B102C"/>
    <w:rsid w:val="004B1639"/>
    <w:rsid w:val="004B1E0F"/>
    <w:rsid w:val="004B248A"/>
    <w:rsid w:val="004B316D"/>
    <w:rsid w:val="004B3E0A"/>
    <w:rsid w:val="004B3EBB"/>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31C"/>
    <w:rsid w:val="004C75FC"/>
    <w:rsid w:val="004C774D"/>
    <w:rsid w:val="004C7EE1"/>
    <w:rsid w:val="004D0234"/>
    <w:rsid w:val="004D0247"/>
    <w:rsid w:val="004D0641"/>
    <w:rsid w:val="004D0801"/>
    <w:rsid w:val="004D090A"/>
    <w:rsid w:val="004D0D54"/>
    <w:rsid w:val="004D0E27"/>
    <w:rsid w:val="004D0E65"/>
    <w:rsid w:val="004D0E8A"/>
    <w:rsid w:val="004D16FF"/>
    <w:rsid w:val="004D1B4B"/>
    <w:rsid w:val="004D1C78"/>
    <w:rsid w:val="004D26F0"/>
    <w:rsid w:val="004D2A97"/>
    <w:rsid w:val="004D2E6B"/>
    <w:rsid w:val="004D3112"/>
    <w:rsid w:val="004D39E9"/>
    <w:rsid w:val="004D3C41"/>
    <w:rsid w:val="004D3CD7"/>
    <w:rsid w:val="004D3DFD"/>
    <w:rsid w:val="004D49EC"/>
    <w:rsid w:val="004D4C65"/>
    <w:rsid w:val="004D52D6"/>
    <w:rsid w:val="004D5525"/>
    <w:rsid w:val="004D562D"/>
    <w:rsid w:val="004D5CB3"/>
    <w:rsid w:val="004D5CBF"/>
    <w:rsid w:val="004D7ABD"/>
    <w:rsid w:val="004D7E87"/>
    <w:rsid w:val="004E0DD7"/>
    <w:rsid w:val="004E102A"/>
    <w:rsid w:val="004E117D"/>
    <w:rsid w:val="004E18F8"/>
    <w:rsid w:val="004E1B35"/>
    <w:rsid w:val="004E220C"/>
    <w:rsid w:val="004E289D"/>
    <w:rsid w:val="004E3F56"/>
    <w:rsid w:val="004E3F72"/>
    <w:rsid w:val="004E4163"/>
    <w:rsid w:val="004E506C"/>
    <w:rsid w:val="004E555F"/>
    <w:rsid w:val="004E6084"/>
    <w:rsid w:val="004E61A3"/>
    <w:rsid w:val="004E6816"/>
    <w:rsid w:val="004E6C61"/>
    <w:rsid w:val="004E7F6E"/>
    <w:rsid w:val="004F0669"/>
    <w:rsid w:val="004F07A7"/>
    <w:rsid w:val="004F0A96"/>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572"/>
    <w:rsid w:val="00510F4E"/>
    <w:rsid w:val="005110E4"/>
    <w:rsid w:val="00511BFE"/>
    <w:rsid w:val="00512377"/>
    <w:rsid w:val="00513024"/>
    <w:rsid w:val="00513780"/>
    <w:rsid w:val="00514887"/>
    <w:rsid w:val="00516F1E"/>
    <w:rsid w:val="00517884"/>
    <w:rsid w:val="005200F6"/>
    <w:rsid w:val="005200FB"/>
    <w:rsid w:val="005206D7"/>
    <w:rsid w:val="005207B1"/>
    <w:rsid w:val="00520CC0"/>
    <w:rsid w:val="00521427"/>
    <w:rsid w:val="00521485"/>
    <w:rsid w:val="005216C3"/>
    <w:rsid w:val="005223FE"/>
    <w:rsid w:val="005239E5"/>
    <w:rsid w:val="00525431"/>
    <w:rsid w:val="005265EC"/>
    <w:rsid w:val="005268E4"/>
    <w:rsid w:val="00526970"/>
    <w:rsid w:val="00526D10"/>
    <w:rsid w:val="00526D94"/>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283"/>
    <w:rsid w:val="00551C90"/>
    <w:rsid w:val="005521C0"/>
    <w:rsid w:val="00552753"/>
    <w:rsid w:val="00553106"/>
    <w:rsid w:val="00553823"/>
    <w:rsid w:val="00553D22"/>
    <w:rsid w:val="00553FF4"/>
    <w:rsid w:val="005549FE"/>
    <w:rsid w:val="00554C0B"/>
    <w:rsid w:val="00554F5B"/>
    <w:rsid w:val="00555BDA"/>
    <w:rsid w:val="00555D82"/>
    <w:rsid w:val="005568AB"/>
    <w:rsid w:val="00557000"/>
    <w:rsid w:val="005574C5"/>
    <w:rsid w:val="0055798A"/>
    <w:rsid w:val="00557ACD"/>
    <w:rsid w:val="00557FA5"/>
    <w:rsid w:val="0056003D"/>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C7D"/>
    <w:rsid w:val="00576364"/>
    <w:rsid w:val="00576516"/>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46E"/>
    <w:rsid w:val="00587698"/>
    <w:rsid w:val="0058785D"/>
    <w:rsid w:val="00590266"/>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18"/>
    <w:rsid w:val="005D63FA"/>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683"/>
    <w:rsid w:val="005F172A"/>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0184"/>
    <w:rsid w:val="00601177"/>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3E5"/>
    <w:rsid w:val="0061675A"/>
    <w:rsid w:val="00617672"/>
    <w:rsid w:val="006176B8"/>
    <w:rsid w:val="006179CD"/>
    <w:rsid w:val="00617ADC"/>
    <w:rsid w:val="00617D14"/>
    <w:rsid w:val="0062012B"/>
    <w:rsid w:val="006203EA"/>
    <w:rsid w:val="006204CC"/>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B10"/>
    <w:rsid w:val="00634030"/>
    <w:rsid w:val="00634433"/>
    <w:rsid w:val="00634936"/>
    <w:rsid w:val="006362D6"/>
    <w:rsid w:val="006369E2"/>
    <w:rsid w:val="00636A4A"/>
    <w:rsid w:val="00636D6F"/>
    <w:rsid w:val="006370BE"/>
    <w:rsid w:val="006372AB"/>
    <w:rsid w:val="00637C16"/>
    <w:rsid w:val="00637ECB"/>
    <w:rsid w:val="00637F15"/>
    <w:rsid w:val="00640005"/>
    <w:rsid w:val="006404C4"/>
    <w:rsid w:val="00640F5E"/>
    <w:rsid w:val="00641764"/>
    <w:rsid w:val="00641859"/>
    <w:rsid w:val="00641BE8"/>
    <w:rsid w:val="0064366A"/>
    <w:rsid w:val="00643731"/>
    <w:rsid w:val="00643C9B"/>
    <w:rsid w:val="0064474F"/>
    <w:rsid w:val="00645CFD"/>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BE3"/>
    <w:rsid w:val="00672C34"/>
    <w:rsid w:val="00672F5A"/>
    <w:rsid w:val="0067368F"/>
    <w:rsid w:val="00673E96"/>
    <w:rsid w:val="006743B7"/>
    <w:rsid w:val="0067511C"/>
    <w:rsid w:val="0067561F"/>
    <w:rsid w:val="006761A1"/>
    <w:rsid w:val="00676314"/>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4A7"/>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305E"/>
    <w:rsid w:val="006A37A7"/>
    <w:rsid w:val="006A3AEF"/>
    <w:rsid w:val="006A3F3C"/>
    <w:rsid w:val="006A4C22"/>
    <w:rsid w:val="006A5D49"/>
    <w:rsid w:val="006A7099"/>
    <w:rsid w:val="006A7F61"/>
    <w:rsid w:val="006B0B88"/>
    <w:rsid w:val="006B0D74"/>
    <w:rsid w:val="006B1CCB"/>
    <w:rsid w:val="006B344A"/>
    <w:rsid w:val="006B3522"/>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2126"/>
    <w:rsid w:val="006C2782"/>
    <w:rsid w:val="006C2933"/>
    <w:rsid w:val="006C2BF6"/>
    <w:rsid w:val="006C2C82"/>
    <w:rsid w:val="006C2FDF"/>
    <w:rsid w:val="006C322E"/>
    <w:rsid w:val="006C324F"/>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5DD"/>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103C"/>
    <w:rsid w:val="00721048"/>
    <w:rsid w:val="00721D49"/>
    <w:rsid w:val="007230A4"/>
    <w:rsid w:val="007237EA"/>
    <w:rsid w:val="007243DC"/>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894"/>
    <w:rsid w:val="007575B8"/>
    <w:rsid w:val="00757965"/>
    <w:rsid w:val="00757CE0"/>
    <w:rsid w:val="00760751"/>
    <w:rsid w:val="00760CD8"/>
    <w:rsid w:val="00760FA9"/>
    <w:rsid w:val="0076144A"/>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548"/>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5D4B"/>
    <w:rsid w:val="00796514"/>
    <w:rsid w:val="00796744"/>
    <w:rsid w:val="00796F41"/>
    <w:rsid w:val="00797493"/>
    <w:rsid w:val="00797AB7"/>
    <w:rsid w:val="007A01BF"/>
    <w:rsid w:val="007A0D05"/>
    <w:rsid w:val="007A2B0B"/>
    <w:rsid w:val="007A2D20"/>
    <w:rsid w:val="007A3184"/>
    <w:rsid w:val="007A3E8B"/>
    <w:rsid w:val="007A4810"/>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E6E"/>
    <w:rsid w:val="007E30D5"/>
    <w:rsid w:val="007E34D2"/>
    <w:rsid w:val="007E3BE5"/>
    <w:rsid w:val="007E3D23"/>
    <w:rsid w:val="007E445B"/>
    <w:rsid w:val="007E4710"/>
    <w:rsid w:val="007E4775"/>
    <w:rsid w:val="007E5441"/>
    <w:rsid w:val="007E5D35"/>
    <w:rsid w:val="007E61A7"/>
    <w:rsid w:val="007E629F"/>
    <w:rsid w:val="007E73DE"/>
    <w:rsid w:val="007E79D7"/>
    <w:rsid w:val="007F1012"/>
    <w:rsid w:val="007F139F"/>
    <w:rsid w:val="007F1BAD"/>
    <w:rsid w:val="007F1FA7"/>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9CF"/>
    <w:rsid w:val="0080523E"/>
    <w:rsid w:val="008061EC"/>
    <w:rsid w:val="00806579"/>
    <w:rsid w:val="00811174"/>
    <w:rsid w:val="008119C5"/>
    <w:rsid w:val="00811B49"/>
    <w:rsid w:val="00811CBC"/>
    <w:rsid w:val="00812023"/>
    <w:rsid w:val="008127B8"/>
    <w:rsid w:val="008134AE"/>
    <w:rsid w:val="00813661"/>
    <w:rsid w:val="00813DD6"/>
    <w:rsid w:val="00813F9F"/>
    <w:rsid w:val="00814786"/>
    <w:rsid w:val="00814DCC"/>
    <w:rsid w:val="00815D0F"/>
    <w:rsid w:val="00815E48"/>
    <w:rsid w:val="008160C8"/>
    <w:rsid w:val="0081624D"/>
    <w:rsid w:val="008163F2"/>
    <w:rsid w:val="00816811"/>
    <w:rsid w:val="00820300"/>
    <w:rsid w:val="00821434"/>
    <w:rsid w:val="00822041"/>
    <w:rsid w:val="00822759"/>
    <w:rsid w:val="00824DF6"/>
    <w:rsid w:val="0082558A"/>
    <w:rsid w:val="00825C99"/>
    <w:rsid w:val="00827B8E"/>
    <w:rsid w:val="0083203D"/>
    <w:rsid w:val="008327BE"/>
    <w:rsid w:val="0083354D"/>
    <w:rsid w:val="00833A0A"/>
    <w:rsid w:val="00833D33"/>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4E"/>
    <w:rsid w:val="0085655A"/>
    <w:rsid w:val="008568BE"/>
    <w:rsid w:val="008574A0"/>
    <w:rsid w:val="00857AB0"/>
    <w:rsid w:val="008602F0"/>
    <w:rsid w:val="00860D87"/>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1B7"/>
    <w:rsid w:val="00875B0E"/>
    <w:rsid w:val="00875CFB"/>
    <w:rsid w:val="00875ED5"/>
    <w:rsid w:val="00876CA0"/>
    <w:rsid w:val="00876E0A"/>
    <w:rsid w:val="00877372"/>
    <w:rsid w:val="008777DB"/>
    <w:rsid w:val="008807AE"/>
    <w:rsid w:val="0088094C"/>
    <w:rsid w:val="00880B59"/>
    <w:rsid w:val="00880B5D"/>
    <w:rsid w:val="00880C14"/>
    <w:rsid w:val="0088142A"/>
    <w:rsid w:val="00881788"/>
    <w:rsid w:val="00881A83"/>
    <w:rsid w:val="008823A3"/>
    <w:rsid w:val="0088256B"/>
    <w:rsid w:val="008828C6"/>
    <w:rsid w:val="008828FB"/>
    <w:rsid w:val="00883915"/>
    <w:rsid w:val="00884B82"/>
    <w:rsid w:val="00885CF3"/>
    <w:rsid w:val="00885D48"/>
    <w:rsid w:val="00885FFC"/>
    <w:rsid w:val="008864FB"/>
    <w:rsid w:val="008866A2"/>
    <w:rsid w:val="008867EF"/>
    <w:rsid w:val="00887401"/>
    <w:rsid w:val="008904B8"/>
    <w:rsid w:val="00890638"/>
    <w:rsid w:val="00890898"/>
    <w:rsid w:val="00891337"/>
    <w:rsid w:val="00891DCD"/>
    <w:rsid w:val="008927DE"/>
    <w:rsid w:val="008943CE"/>
    <w:rsid w:val="008947F5"/>
    <w:rsid w:val="008948AD"/>
    <w:rsid w:val="00894BA6"/>
    <w:rsid w:val="00894C91"/>
    <w:rsid w:val="008955B7"/>
    <w:rsid w:val="00896078"/>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7927"/>
    <w:rsid w:val="008A7B7E"/>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577"/>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22F"/>
    <w:rsid w:val="008F039D"/>
    <w:rsid w:val="008F04B0"/>
    <w:rsid w:val="008F0A73"/>
    <w:rsid w:val="008F11C8"/>
    <w:rsid w:val="008F2195"/>
    <w:rsid w:val="008F284F"/>
    <w:rsid w:val="008F29A1"/>
    <w:rsid w:val="008F2AB2"/>
    <w:rsid w:val="008F3730"/>
    <w:rsid w:val="008F3DF3"/>
    <w:rsid w:val="008F41E1"/>
    <w:rsid w:val="008F4EDC"/>
    <w:rsid w:val="008F66E7"/>
    <w:rsid w:val="008F76A3"/>
    <w:rsid w:val="00900B1E"/>
    <w:rsid w:val="0090300F"/>
    <w:rsid w:val="00903588"/>
    <w:rsid w:val="009039F1"/>
    <w:rsid w:val="00903B7D"/>
    <w:rsid w:val="00903DE5"/>
    <w:rsid w:val="00904498"/>
    <w:rsid w:val="00905176"/>
    <w:rsid w:val="009057D9"/>
    <w:rsid w:val="009057E2"/>
    <w:rsid w:val="00905FCC"/>
    <w:rsid w:val="009061FE"/>
    <w:rsid w:val="00906BDB"/>
    <w:rsid w:val="00906FB7"/>
    <w:rsid w:val="00907463"/>
    <w:rsid w:val="00907D11"/>
    <w:rsid w:val="00910EAA"/>
    <w:rsid w:val="00910F5F"/>
    <w:rsid w:val="0091168C"/>
    <w:rsid w:val="00911864"/>
    <w:rsid w:val="00912454"/>
    <w:rsid w:val="00912637"/>
    <w:rsid w:val="009129F1"/>
    <w:rsid w:val="00913182"/>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269C8"/>
    <w:rsid w:val="00927630"/>
    <w:rsid w:val="00927D5F"/>
    <w:rsid w:val="00930098"/>
    <w:rsid w:val="00930D8E"/>
    <w:rsid w:val="00931C11"/>
    <w:rsid w:val="0093219B"/>
    <w:rsid w:val="009322D3"/>
    <w:rsid w:val="009326A6"/>
    <w:rsid w:val="00932D7B"/>
    <w:rsid w:val="00932E57"/>
    <w:rsid w:val="009332D3"/>
    <w:rsid w:val="00933FD7"/>
    <w:rsid w:val="009341DB"/>
    <w:rsid w:val="0093429F"/>
    <w:rsid w:val="009346D0"/>
    <w:rsid w:val="00935100"/>
    <w:rsid w:val="00935328"/>
    <w:rsid w:val="00935401"/>
    <w:rsid w:val="009362CC"/>
    <w:rsid w:val="00936B4D"/>
    <w:rsid w:val="00936BBD"/>
    <w:rsid w:val="00936C2E"/>
    <w:rsid w:val="00936D85"/>
    <w:rsid w:val="00937D72"/>
    <w:rsid w:val="009403CB"/>
    <w:rsid w:val="00940E5B"/>
    <w:rsid w:val="00941445"/>
    <w:rsid w:val="009427FE"/>
    <w:rsid w:val="00942B70"/>
    <w:rsid w:val="00942F02"/>
    <w:rsid w:val="00943F90"/>
    <w:rsid w:val="00944092"/>
    <w:rsid w:val="009450D2"/>
    <w:rsid w:val="009454D3"/>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D24"/>
    <w:rsid w:val="00955021"/>
    <w:rsid w:val="0095508A"/>
    <w:rsid w:val="00955123"/>
    <w:rsid w:val="00955B70"/>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D34"/>
    <w:rsid w:val="00962F4F"/>
    <w:rsid w:val="009630F6"/>
    <w:rsid w:val="009643C6"/>
    <w:rsid w:val="0096573D"/>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FFB"/>
    <w:rsid w:val="009851D2"/>
    <w:rsid w:val="00985E6B"/>
    <w:rsid w:val="00985F02"/>
    <w:rsid w:val="00986267"/>
    <w:rsid w:val="00986C25"/>
    <w:rsid w:val="0098713B"/>
    <w:rsid w:val="0098799E"/>
    <w:rsid w:val="0099024A"/>
    <w:rsid w:val="00990312"/>
    <w:rsid w:val="009905F1"/>
    <w:rsid w:val="00990A83"/>
    <w:rsid w:val="00991024"/>
    <w:rsid w:val="00991D73"/>
    <w:rsid w:val="00991EFB"/>
    <w:rsid w:val="00992766"/>
    <w:rsid w:val="00992960"/>
    <w:rsid w:val="00992CAE"/>
    <w:rsid w:val="00992CF1"/>
    <w:rsid w:val="00993209"/>
    <w:rsid w:val="00993472"/>
    <w:rsid w:val="00993DFA"/>
    <w:rsid w:val="00993E22"/>
    <w:rsid w:val="00994E84"/>
    <w:rsid w:val="00996B6E"/>
    <w:rsid w:val="009972A4"/>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9D2"/>
    <w:rsid w:val="009B067C"/>
    <w:rsid w:val="009B13A0"/>
    <w:rsid w:val="009B286F"/>
    <w:rsid w:val="009B2C8D"/>
    <w:rsid w:val="009B2F08"/>
    <w:rsid w:val="009B371B"/>
    <w:rsid w:val="009B392C"/>
    <w:rsid w:val="009B4B46"/>
    <w:rsid w:val="009B563A"/>
    <w:rsid w:val="009B5DA0"/>
    <w:rsid w:val="009B6252"/>
    <w:rsid w:val="009B71E8"/>
    <w:rsid w:val="009B7C08"/>
    <w:rsid w:val="009B7CBC"/>
    <w:rsid w:val="009B7DFF"/>
    <w:rsid w:val="009C0E68"/>
    <w:rsid w:val="009C0F77"/>
    <w:rsid w:val="009C1CD8"/>
    <w:rsid w:val="009C2E47"/>
    <w:rsid w:val="009C32CB"/>
    <w:rsid w:val="009C36F3"/>
    <w:rsid w:val="009C41D8"/>
    <w:rsid w:val="009C44C5"/>
    <w:rsid w:val="009C468E"/>
    <w:rsid w:val="009C48C9"/>
    <w:rsid w:val="009C4904"/>
    <w:rsid w:val="009C7A93"/>
    <w:rsid w:val="009D052A"/>
    <w:rsid w:val="009D0C36"/>
    <w:rsid w:val="009D1699"/>
    <w:rsid w:val="009D2A6C"/>
    <w:rsid w:val="009D348E"/>
    <w:rsid w:val="009D4A03"/>
    <w:rsid w:val="009D4FEE"/>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2420"/>
    <w:rsid w:val="009F31F4"/>
    <w:rsid w:val="009F33ED"/>
    <w:rsid w:val="009F4D03"/>
    <w:rsid w:val="009F5279"/>
    <w:rsid w:val="009F5E07"/>
    <w:rsid w:val="009F5E5D"/>
    <w:rsid w:val="009F5E8D"/>
    <w:rsid w:val="009F73FD"/>
    <w:rsid w:val="009F764A"/>
    <w:rsid w:val="009F7725"/>
    <w:rsid w:val="009F77A2"/>
    <w:rsid w:val="00A00F54"/>
    <w:rsid w:val="00A014E1"/>
    <w:rsid w:val="00A01528"/>
    <w:rsid w:val="00A02710"/>
    <w:rsid w:val="00A02B6E"/>
    <w:rsid w:val="00A02FE6"/>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C6"/>
    <w:rsid w:val="00A269CF"/>
    <w:rsid w:val="00A26D24"/>
    <w:rsid w:val="00A303CB"/>
    <w:rsid w:val="00A303F6"/>
    <w:rsid w:val="00A30596"/>
    <w:rsid w:val="00A3065C"/>
    <w:rsid w:val="00A306BD"/>
    <w:rsid w:val="00A314DD"/>
    <w:rsid w:val="00A321C6"/>
    <w:rsid w:val="00A32AD4"/>
    <w:rsid w:val="00A3302D"/>
    <w:rsid w:val="00A33529"/>
    <w:rsid w:val="00A33BE7"/>
    <w:rsid w:val="00A33F59"/>
    <w:rsid w:val="00A346DD"/>
    <w:rsid w:val="00A359A1"/>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4725"/>
    <w:rsid w:val="00A64FB3"/>
    <w:rsid w:val="00A65245"/>
    <w:rsid w:val="00A65462"/>
    <w:rsid w:val="00A6754C"/>
    <w:rsid w:val="00A700EF"/>
    <w:rsid w:val="00A701A5"/>
    <w:rsid w:val="00A702A7"/>
    <w:rsid w:val="00A703E5"/>
    <w:rsid w:val="00A7130A"/>
    <w:rsid w:val="00A72492"/>
    <w:rsid w:val="00A73635"/>
    <w:rsid w:val="00A73C5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4BE"/>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62A8"/>
    <w:rsid w:val="00AC6CE2"/>
    <w:rsid w:val="00AC6FA5"/>
    <w:rsid w:val="00AD0D1E"/>
    <w:rsid w:val="00AD1316"/>
    <w:rsid w:val="00AD1DD0"/>
    <w:rsid w:val="00AD1E10"/>
    <w:rsid w:val="00AD2CBB"/>
    <w:rsid w:val="00AD2EF1"/>
    <w:rsid w:val="00AD46ED"/>
    <w:rsid w:val="00AD4768"/>
    <w:rsid w:val="00AD4BCC"/>
    <w:rsid w:val="00AD4F13"/>
    <w:rsid w:val="00AD55CB"/>
    <w:rsid w:val="00AD55D2"/>
    <w:rsid w:val="00AD5A55"/>
    <w:rsid w:val="00AD5A92"/>
    <w:rsid w:val="00AD5B7E"/>
    <w:rsid w:val="00AD5CBB"/>
    <w:rsid w:val="00AD7144"/>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F91"/>
    <w:rsid w:val="00AE54C6"/>
    <w:rsid w:val="00AE5586"/>
    <w:rsid w:val="00AE5B4A"/>
    <w:rsid w:val="00AE5F52"/>
    <w:rsid w:val="00AE61EF"/>
    <w:rsid w:val="00AE6245"/>
    <w:rsid w:val="00AE6A72"/>
    <w:rsid w:val="00AE7D92"/>
    <w:rsid w:val="00AF0139"/>
    <w:rsid w:val="00AF0411"/>
    <w:rsid w:val="00AF08E9"/>
    <w:rsid w:val="00AF0F8E"/>
    <w:rsid w:val="00AF1020"/>
    <w:rsid w:val="00AF12C3"/>
    <w:rsid w:val="00AF16A2"/>
    <w:rsid w:val="00AF1AC2"/>
    <w:rsid w:val="00AF20A2"/>
    <w:rsid w:val="00AF2607"/>
    <w:rsid w:val="00AF2C65"/>
    <w:rsid w:val="00AF30DA"/>
    <w:rsid w:val="00AF32CC"/>
    <w:rsid w:val="00AF398B"/>
    <w:rsid w:val="00AF3E34"/>
    <w:rsid w:val="00AF3F59"/>
    <w:rsid w:val="00AF40DE"/>
    <w:rsid w:val="00AF47DF"/>
    <w:rsid w:val="00AF5D96"/>
    <w:rsid w:val="00AF6AB2"/>
    <w:rsid w:val="00AF6DD7"/>
    <w:rsid w:val="00AF7B6E"/>
    <w:rsid w:val="00B00C4C"/>
    <w:rsid w:val="00B00E7E"/>
    <w:rsid w:val="00B00F13"/>
    <w:rsid w:val="00B018B9"/>
    <w:rsid w:val="00B01FE0"/>
    <w:rsid w:val="00B02719"/>
    <w:rsid w:val="00B03E87"/>
    <w:rsid w:val="00B03FFD"/>
    <w:rsid w:val="00B0473F"/>
    <w:rsid w:val="00B04959"/>
    <w:rsid w:val="00B05121"/>
    <w:rsid w:val="00B063E2"/>
    <w:rsid w:val="00B06841"/>
    <w:rsid w:val="00B06EDB"/>
    <w:rsid w:val="00B07331"/>
    <w:rsid w:val="00B07EF4"/>
    <w:rsid w:val="00B10419"/>
    <w:rsid w:val="00B10EED"/>
    <w:rsid w:val="00B11517"/>
    <w:rsid w:val="00B12111"/>
    <w:rsid w:val="00B127CC"/>
    <w:rsid w:val="00B128AE"/>
    <w:rsid w:val="00B12B0E"/>
    <w:rsid w:val="00B12B5D"/>
    <w:rsid w:val="00B132E7"/>
    <w:rsid w:val="00B1353C"/>
    <w:rsid w:val="00B137B8"/>
    <w:rsid w:val="00B13FB6"/>
    <w:rsid w:val="00B140FC"/>
    <w:rsid w:val="00B14D76"/>
    <w:rsid w:val="00B14DCD"/>
    <w:rsid w:val="00B153B3"/>
    <w:rsid w:val="00B157BD"/>
    <w:rsid w:val="00B16FB1"/>
    <w:rsid w:val="00B17440"/>
    <w:rsid w:val="00B17820"/>
    <w:rsid w:val="00B17958"/>
    <w:rsid w:val="00B17F0A"/>
    <w:rsid w:val="00B243A0"/>
    <w:rsid w:val="00B24DAE"/>
    <w:rsid w:val="00B25129"/>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6516"/>
    <w:rsid w:val="00B40E79"/>
    <w:rsid w:val="00B4181F"/>
    <w:rsid w:val="00B41A4F"/>
    <w:rsid w:val="00B41C7F"/>
    <w:rsid w:val="00B41F6B"/>
    <w:rsid w:val="00B4215E"/>
    <w:rsid w:val="00B4242D"/>
    <w:rsid w:val="00B428BA"/>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55ED"/>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40D8"/>
    <w:rsid w:val="00B7494F"/>
    <w:rsid w:val="00B74CE2"/>
    <w:rsid w:val="00B74EC4"/>
    <w:rsid w:val="00B74FCA"/>
    <w:rsid w:val="00B75A29"/>
    <w:rsid w:val="00B75A9C"/>
    <w:rsid w:val="00B76193"/>
    <w:rsid w:val="00B7657B"/>
    <w:rsid w:val="00B77E16"/>
    <w:rsid w:val="00B802E1"/>
    <w:rsid w:val="00B806DD"/>
    <w:rsid w:val="00B80C2A"/>
    <w:rsid w:val="00B80EAA"/>
    <w:rsid w:val="00B81071"/>
    <w:rsid w:val="00B813D5"/>
    <w:rsid w:val="00B8174F"/>
    <w:rsid w:val="00B81B08"/>
    <w:rsid w:val="00B82920"/>
    <w:rsid w:val="00B8321C"/>
    <w:rsid w:val="00B8370F"/>
    <w:rsid w:val="00B83727"/>
    <w:rsid w:val="00B84259"/>
    <w:rsid w:val="00B842A4"/>
    <w:rsid w:val="00B85577"/>
    <w:rsid w:val="00B85EBA"/>
    <w:rsid w:val="00B85EE3"/>
    <w:rsid w:val="00B869A2"/>
    <w:rsid w:val="00B86D74"/>
    <w:rsid w:val="00B86D95"/>
    <w:rsid w:val="00B86DE1"/>
    <w:rsid w:val="00B87C59"/>
    <w:rsid w:val="00B87F5E"/>
    <w:rsid w:val="00B90481"/>
    <w:rsid w:val="00B90BF4"/>
    <w:rsid w:val="00B90D08"/>
    <w:rsid w:val="00B91091"/>
    <w:rsid w:val="00B91A74"/>
    <w:rsid w:val="00B91F2F"/>
    <w:rsid w:val="00B91F34"/>
    <w:rsid w:val="00B922F0"/>
    <w:rsid w:val="00B92843"/>
    <w:rsid w:val="00B92911"/>
    <w:rsid w:val="00B92CB4"/>
    <w:rsid w:val="00B935C1"/>
    <w:rsid w:val="00B94292"/>
    <w:rsid w:val="00B9485B"/>
    <w:rsid w:val="00B9490A"/>
    <w:rsid w:val="00B9495B"/>
    <w:rsid w:val="00B950D8"/>
    <w:rsid w:val="00B951CE"/>
    <w:rsid w:val="00B951EB"/>
    <w:rsid w:val="00B952E3"/>
    <w:rsid w:val="00B95D69"/>
    <w:rsid w:val="00B97239"/>
    <w:rsid w:val="00BA0010"/>
    <w:rsid w:val="00BA058F"/>
    <w:rsid w:val="00BA061F"/>
    <w:rsid w:val="00BA0BFE"/>
    <w:rsid w:val="00BA0E9E"/>
    <w:rsid w:val="00BA184B"/>
    <w:rsid w:val="00BA1894"/>
    <w:rsid w:val="00BA19EE"/>
    <w:rsid w:val="00BA213A"/>
    <w:rsid w:val="00BA21DB"/>
    <w:rsid w:val="00BA2557"/>
    <w:rsid w:val="00BA25F4"/>
    <w:rsid w:val="00BA26D5"/>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AE2"/>
    <w:rsid w:val="00BB2DA8"/>
    <w:rsid w:val="00BB36DE"/>
    <w:rsid w:val="00BB383A"/>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4719"/>
    <w:rsid w:val="00BD4CEC"/>
    <w:rsid w:val="00BD4F61"/>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24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1FD"/>
    <w:rsid w:val="00C00927"/>
    <w:rsid w:val="00C00CFE"/>
    <w:rsid w:val="00C02CEF"/>
    <w:rsid w:val="00C02E02"/>
    <w:rsid w:val="00C03625"/>
    <w:rsid w:val="00C0383E"/>
    <w:rsid w:val="00C045B2"/>
    <w:rsid w:val="00C049FB"/>
    <w:rsid w:val="00C04A14"/>
    <w:rsid w:val="00C07B82"/>
    <w:rsid w:val="00C10293"/>
    <w:rsid w:val="00C10469"/>
    <w:rsid w:val="00C10693"/>
    <w:rsid w:val="00C11059"/>
    <w:rsid w:val="00C1172E"/>
    <w:rsid w:val="00C12AB9"/>
    <w:rsid w:val="00C13A5D"/>
    <w:rsid w:val="00C13A66"/>
    <w:rsid w:val="00C13AFF"/>
    <w:rsid w:val="00C14248"/>
    <w:rsid w:val="00C148D7"/>
    <w:rsid w:val="00C14970"/>
    <w:rsid w:val="00C15A30"/>
    <w:rsid w:val="00C15EAF"/>
    <w:rsid w:val="00C15F87"/>
    <w:rsid w:val="00C16995"/>
    <w:rsid w:val="00C174AA"/>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52A"/>
    <w:rsid w:val="00C265DE"/>
    <w:rsid w:val="00C268DD"/>
    <w:rsid w:val="00C269F1"/>
    <w:rsid w:val="00C26E1B"/>
    <w:rsid w:val="00C26E40"/>
    <w:rsid w:val="00C26FE5"/>
    <w:rsid w:val="00C27708"/>
    <w:rsid w:val="00C27C15"/>
    <w:rsid w:val="00C27E98"/>
    <w:rsid w:val="00C27FC5"/>
    <w:rsid w:val="00C30159"/>
    <w:rsid w:val="00C30958"/>
    <w:rsid w:val="00C30D3B"/>
    <w:rsid w:val="00C31543"/>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1BE9"/>
    <w:rsid w:val="00C721C9"/>
    <w:rsid w:val="00C73150"/>
    <w:rsid w:val="00C744C9"/>
    <w:rsid w:val="00C75102"/>
    <w:rsid w:val="00C75EC4"/>
    <w:rsid w:val="00C760F3"/>
    <w:rsid w:val="00C761A9"/>
    <w:rsid w:val="00C76A43"/>
    <w:rsid w:val="00C808C1"/>
    <w:rsid w:val="00C8158C"/>
    <w:rsid w:val="00C817D6"/>
    <w:rsid w:val="00C81A82"/>
    <w:rsid w:val="00C8230F"/>
    <w:rsid w:val="00C82782"/>
    <w:rsid w:val="00C82D0C"/>
    <w:rsid w:val="00C83164"/>
    <w:rsid w:val="00C83D13"/>
    <w:rsid w:val="00C84407"/>
    <w:rsid w:val="00C847B4"/>
    <w:rsid w:val="00C84C0B"/>
    <w:rsid w:val="00C85275"/>
    <w:rsid w:val="00C85367"/>
    <w:rsid w:val="00C853CC"/>
    <w:rsid w:val="00C85A8F"/>
    <w:rsid w:val="00C86339"/>
    <w:rsid w:val="00C86A59"/>
    <w:rsid w:val="00C87417"/>
    <w:rsid w:val="00C87919"/>
    <w:rsid w:val="00C879F1"/>
    <w:rsid w:val="00C87C75"/>
    <w:rsid w:val="00C90441"/>
    <w:rsid w:val="00C90548"/>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5502"/>
    <w:rsid w:val="00CA5C35"/>
    <w:rsid w:val="00CA6ACC"/>
    <w:rsid w:val="00CA73D7"/>
    <w:rsid w:val="00CA7733"/>
    <w:rsid w:val="00CA7ACB"/>
    <w:rsid w:val="00CB0E1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D19"/>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642A"/>
    <w:rsid w:val="00CE670D"/>
    <w:rsid w:val="00CE71A8"/>
    <w:rsid w:val="00CE72C7"/>
    <w:rsid w:val="00CF02D1"/>
    <w:rsid w:val="00CF062A"/>
    <w:rsid w:val="00CF11B3"/>
    <w:rsid w:val="00CF2295"/>
    <w:rsid w:val="00CF2577"/>
    <w:rsid w:val="00CF2721"/>
    <w:rsid w:val="00CF2C69"/>
    <w:rsid w:val="00CF3AB6"/>
    <w:rsid w:val="00CF456C"/>
    <w:rsid w:val="00CF5475"/>
    <w:rsid w:val="00CF55FA"/>
    <w:rsid w:val="00CF5823"/>
    <w:rsid w:val="00CF5DEB"/>
    <w:rsid w:val="00CF68DE"/>
    <w:rsid w:val="00CF6A71"/>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1146"/>
    <w:rsid w:val="00D126A3"/>
    <w:rsid w:val="00D12939"/>
    <w:rsid w:val="00D12B80"/>
    <w:rsid w:val="00D1391B"/>
    <w:rsid w:val="00D139E9"/>
    <w:rsid w:val="00D14AB1"/>
    <w:rsid w:val="00D14F46"/>
    <w:rsid w:val="00D1563D"/>
    <w:rsid w:val="00D15B52"/>
    <w:rsid w:val="00D1612B"/>
    <w:rsid w:val="00D1624F"/>
    <w:rsid w:val="00D162C6"/>
    <w:rsid w:val="00D16975"/>
    <w:rsid w:val="00D16E7A"/>
    <w:rsid w:val="00D17415"/>
    <w:rsid w:val="00D175C4"/>
    <w:rsid w:val="00D203E1"/>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124D"/>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5046"/>
    <w:rsid w:val="00D557BC"/>
    <w:rsid w:val="00D55C02"/>
    <w:rsid w:val="00D563B4"/>
    <w:rsid w:val="00D56BB9"/>
    <w:rsid w:val="00D5785E"/>
    <w:rsid w:val="00D578CA"/>
    <w:rsid w:val="00D57ED4"/>
    <w:rsid w:val="00D6037C"/>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707B3"/>
    <w:rsid w:val="00D71401"/>
    <w:rsid w:val="00D718F5"/>
    <w:rsid w:val="00D71F7F"/>
    <w:rsid w:val="00D722CE"/>
    <w:rsid w:val="00D72919"/>
    <w:rsid w:val="00D729A6"/>
    <w:rsid w:val="00D73279"/>
    <w:rsid w:val="00D744AC"/>
    <w:rsid w:val="00D74F90"/>
    <w:rsid w:val="00D75179"/>
    <w:rsid w:val="00D757EC"/>
    <w:rsid w:val="00D758FA"/>
    <w:rsid w:val="00D76765"/>
    <w:rsid w:val="00D7724D"/>
    <w:rsid w:val="00D77446"/>
    <w:rsid w:val="00D7796E"/>
    <w:rsid w:val="00D77BFB"/>
    <w:rsid w:val="00D77EAE"/>
    <w:rsid w:val="00D80DD9"/>
    <w:rsid w:val="00D8144D"/>
    <w:rsid w:val="00D82264"/>
    <w:rsid w:val="00D8240D"/>
    <w:rsid w:val="00D828A0"/>
    <w:rsid w:val="00D82F01"/>
    <w:rsid w:val="00D82FAF"/>
    <w:rsid w:val="00D83353"/>
    <w:rsid w:val="00D8437D"/>
    <w:rsid w:val="00D84781"/>
    <w:rsid w:val="00D84790"/>
    <w:rsid w:val="00D8485D"/>
    <w:rsid w:val="00D8565C"/>
    <w:rsid w:val="00D86017"/>
    <w:rsid w:val="00D87040"/>
    <w:rsid w:val="00D8764F"/>
    <w:rsid w:val="00D91289"/>
    <w:rsid w:val="00D9230D"/>
    <w:rsid w:val="00D9300D"/>
    <w:rsid w:val="00D930B4"/>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AD4"/>
    <w:rsid w:val="00DA5F07"/>
    <w:rsid w:val="00DA602A"/>
    <w:rsid w:val="00DA672A"/>
    <w:rsid w:val="00DA708A"/>
    <w:rsid w:val="00DA7117"/>
    <w:rsid w:val="00DA7CCE"/>
    <w:rsid w:val="00DB1167"/>
    <w:rsid w:val="00DB1360"/>
    <w:rsid w:val="00DB19B0"/>
    <w:rsid w:val="00DB21EC"/>
    <w:rsid w:val="00DB26FB"/>
    <w:rsid w:val="00DB2CEA"/>
    <w:rsid w:val="00DB2DC0"/>
    <w:rsid w:val="00DB3A64"/>
    <w:rsid w:val="00DB436B"/>
    <w:rsid w:val="00DB51B3"/>
    <w:rsid w:val="00DB5E0F"/>
    <w:rsid w:val="00DB6A15"/>
    <w:rsid w:val="00DB70BE"/>
    <w:rsid w:val="00DB7EB6"/>
    <w:rsid w:val="00DC0FBB"/>
    <w:rsid w:val="00DC12BC"/>
    <w:rsid w:val="00DC12E1"/>
    <w:rsid w:val="00DC15CF"/>
    <w:rsid w:val="00DC15ED"/>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9AA"/>
    <w:rsid w:val="00DD5C2C"/>
    <w:rsid w:val="00DD62D9"/>
    <w:rsid w:val="00DD6C04"/>
    <w:rsid w:val="00DD6DE7"/>
    <w:rsid w:val="00DD6E0E"/>
    <w:rsid w:val="00DD73D5"/>
    <w:rsid w:val="00DD78C8"/>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2C11"/>
    <w:rsid w:val="00E23CF9"/>
    <w:rsid w:val="00E23DC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D2D"/>
    <w:rsid w:val="00E355FA"/>
    <w:rsid w:val="00E35A73"/>
    <w:rsid w:val="00E36ACB"/>
    <w:rsid w:val="00E3714A"/>
    <w:rsid w:val="00E37174"/>
    <w:rsid w:val="00E3785F"/>
    <w:rsid w:val="00E37C1C"/>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5DCE"/>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4D25"/>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F"/>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95F"/>
    <w:rsid w:val="00E91DC0"/>
    <w:rsid w:val="00E926BB"/>
    <w:rsid w:val="00E9315C"/>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C02BE"/>
    <w:rsid w:val="00EC0339"/>
    <w:rsid w:val="00EC03A5"/>
    <w:rsid w:val="00EC05B7"/>
    <w:rsid w:val="00EC06E2"/>
    <w:rsid w:val="00EC0703"/>
    <w:rsid w:val="00EC1864"/>
    <w:rsid w:val="00EC2B72"/>
    <w:rsid w:val="00EC401B"/>
    <w:rsid w:val="00EC49A0"/>
    <w:rsid w:val="00EC4CC2"/>
    <w:rsid w:val="00EC4E64"/>
    <w:rsid w:val="00EC5819"/>
    <w:rsid w:val="00EC5B15"/>
    <w:rsid w:val="00EC5F03"/>
    <w:rsid w:val="00ED14DB"/>
    <w:rsid w:val="00ED17DB"/>
    <w:rsid w:val="00ED24DE"/>
    <w:rsid w:val="00ED316F"/>
    <w:rsid w:val="00ED402E"/>
    <w:rsid w:val="00ED4606"/>
    <w:rsid w:val="00ED47EC"/>
    <w:rsid w:val="00ED48D3"/>
    <w:rsid w:val="00ED52C8"/>
    <w:rsid w:val="00ED6992"/>
    <w:rsid w:val="00ED69DE"/>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175"/>
    <w:rsid w:val="00EF28EE"/>
    <w:rsid w:val="00EF2F72"/>
    <w:rsid w:val="00EF2FDC"/>
    <w:rsid w:val="00EF4A8B"/>
    <w:rsid w:val="00EF64BE"/>
    <w:rsid w:val="00EF6C6E"/>
    <w:rsid w:val="00EF6CF6"/>
    <w:rsid w:val="00EF6DC3"/>
    <w:rsid w:val="00F00978"/>
    <w:rsid w:val="00F01E45"/>
    <w:rsid w:val="00F02206"/>
    <w:rsid w:val="00F02A69"/>
    <w:rsid w:val="00F02B02"/>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7918"/>
    <w:rsid w:val="00F17D4C"/>
    <w:rsid w:val="00F2005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9BE"/>
    <w:rsid w:val="00F51F39"/>
    <w:rsid w:val="00F52330"/>
    <w:rsid w:val="00F529F2"/>
    <w:rsid w:val="00F52DDA"/>
    <w:rsid w:val="00F54086"/>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A6A"/>
    <w:rsid w:val="00F7703E"/>
    <w:rsid w:val="00F772F5"/>
    <w:rsid w:val="00F77D1F"/>
    <w:rsid w:val="00F77DC0"/>
    <w:rsid w:val="00F809CD"/>
    <w:rsid w:val="00F8233A"/>
    <w:rsid w:val="00F825E1"/>
    <w:rsid w:val="00F8276A"/>
    <w:rsid w:val="00F82848"/>
    <w:rsid w:val="00F8294C"/>
    <w:rsid w:val="00F83402"/>
    <w:rsid w:val="00F83B09"/>
    <w:rsid w:val="00F86251"/>
    <w:rsid w:val="00F86BDB"/>
    <w:rsid w:val="00F9180B"/>
    <w:rsid w:val="00F91968"/>
    <w:rsid w:val="00F92CFC"/>
    <w:rsid w:val="00F930A7"/>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26BC"/>
    <w:rsid w:val="00FB396D"/>
    <w:rsid w:val="00FB3D6E"/>
    <w:rsid w:val="00FB3FE9"/>
    <w:rsid w:val="00FB4235"/>
    <w:rsid w:val="00FB4258"/>
    <w:rsid w:val="00FB4A67"/>
    <w:rsid w:val="00FB518D"/>
    <w:rsid w:val="00FB53E2"/>
    <w:rsid w:val="00FB5D63"/>
    <w:rsid w:val="00FB606D"/>
    <w:rsid w:val="00FB6128"/>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3A41"/>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5DD"/>
    <w:rsid w:val="00FE462E"/>
    <w:rsid w:val="00FE4714"/>
    <w:rsid w:val="00FE50E9"/>
    <w:rsid w:val="00FE60CA"/>
    <w:rsid w:val="00FE61B8"/>
    <w:rsid w:val="00FE6358"/>
    <w:rsid w:val="00FE6A95"/>
    <w:rsid w:val="00FE71F0"/>
    <w:rsid w:val="00FE751E"/>
    <w:rsid w:val="00FE754C"/>
    <w:rsid w:val="00FE7E64"/>
    <w:rsid w:val="00FF0A58"/>
    <w:rsid w:val="00FF0B12"/>
    <w:rsid w:val="00FF0F83"/>
    <w:rsid w:val="00FF138C"/>
    <w:rsid w:val="00FF1F55"/>
    <w:rsid w:val="00FF200B"/>
    <w:rsid w:val="00FF2418"/>
    <w:rsid w:val="00FF2742"/>
    <w:rsid w:val="00FF2D69"/>
    <w:rsid w:val="00FF32D9"/>
    <w:rsid w:val="00FF4047"/>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5640"/>
  <w15:docId w15:val="{C3B924AC-2683-4023-9FB7-3A7028C7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380531"/>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icentro.iss.it/coronavirus/bollettino/Bollettino-sorveglianza-integrata-COVID-19_13-aprile-2022.pdf"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github.com/italia/covid19-opendata-vaccini/blob/master/dati/platea-second-booster.cs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talia/covid19-opendata-vaccini/blob/master/dati/platea-booster-immunocompromessi.csv"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ufficio.stampa@gimbe.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trovanorme.salute.gov.it/norme/renderNormsanPdf?anno=2022&amp;codLeg=86755&amp;parte=1%20&amp;serie=null" TargetMode="External"/><Relationship Id="rId14" Type="http://schemas.openxmlformats.org/officeDocument/2006/relationships/hyperlink" Target="https://coronavirus.gimbe.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github.com/italia/covid19-opendata-vaccini/blob/master/dati/platea-dose-addizionale-booster.csv"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C0CDC-60A8-4C52-A97D-AFA93728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2865</Words>
  <Characters>16331</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4</cp:revision>
  <cp:lastPrinted>2022-04-06T12:36:00Z</cp:lastPrinted>
  <dcterms:created xsi:type="dcterms:W3CDTF">2022-04-20T13:32:00Z</dcterms:created>
  <dcterms:modified xsi:type="dcterms:W3CDTF">2022-04-21T07:46:00Z</dcterms:modified>
</cp:coreProperties>
</file>